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C01" w:rsidRDefault="00076C01" w:rsidP="009100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0B2" w:rsidRDefault="009100B2" w:rsidP="009100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0B2">
        <w:rPr>
          <w:rFonts w:ascii="Times New Roman" w:hAnsi="Times New Roman" w:cs="Times New Roman"/>
          <w:b/>
          <w:sz w:val="28"/>
          <w:szCs w:val="28"/>
        </w:rPr>
        <w:t>Анализ результатов опроса</w:t>
      </w:r>
    </w:p>
    <w:p w:rsidR="00B871B1" w:rsidRPr="009100B2" w:rsidRDefault="009100B2" w:rsidP="009100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0B2">
        <w:rPr>
          <w:rFonts w:ascii="Times New Roman" w:hAnsi="Times New Roman" w:cs="Times New Roman"/>
          <w:b/>
          <w:sz w:val="28"/>
          <w:szCs w:val="28"/>
        </w:rPr>
        <w:t>посетителей сайта ГБУ «ЦЭСИ РТ»</w:t>
      </w:r>
    </w:p>
    <w:p w:rsidR="009100B2" w:rsidRPr="009100B2" w:rsidRDefault="009100B2" w:rsidP="009100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C62" w:rsidRDefault="009100B2" w:rsidP="0071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D94F97">
        <w:rPr>
          <w:rFonts w:ascii="Times New Roman" w:hAnsi="Times New Roman" w:cs="Times New Roman"/>
          <w:sz w:val="28"/>
          <w:szCs w:val="28"/>
        </w:rPr>
        <w:t>25 августа по 30</w:t>
      </w:r>
      <w:r w:rsidR="006861E4">
        <w:rPr>
          <w:rFonts w:ascii="Times New Roman" w:hAnsi="Times New Roman" w:cs="Times New Roman"/>
          <w:sz w:val="28"/>
          <w:szCs w:val="28"/>
        </w:rPr>
        <w:t xml:space="preserve"> </w:t>
      </w:r>
      <w:r w:rsidR="00D94F97">
        <w:rPr>
          <w:rFonts w:ascii="Times New Roman" w:hAnsi="Times New Roman" w:cs="Times New Roman"/>
          <w:sz w:val="28"/>
          <w:szCs w:val="28"/>
        </w:rPr>
        <w:t>сентября</w:t>
      </w:r>
      <w:r w:rsidR="00DB43F2">
        <w:rPr>
          <w:rFonts w:ascii="Times New Roman" w:hAnsi="Times New Roman" w:cs="Times New Roman"/>
          <w:sz w:val="28"/>
          <w:szCs w:val="28"/>
        </w:rPr>
        <w:t xml:space="preserve"> </w:t>
      </w:r>
      <w:r w:rsidRPr="009100B2">
        <w:rPr>
          <w:rFonts w:ascii="Times New Roman" w:hAnsi="Times New Roman" w:cs="Times New Roman"/>
          <w:sz w:val="28"/>
          <w:szCs w:val="28"/>
        </w:rPr>
        <w:t xml:space="preserve">2017 года посетителям </w:t>
      </w:r>
      <w:r w:rsidR="007B6984">
        <w:rPr>
          <w:rFonts w:ascii="Times New Roman" w:hAnsi="Times New Roman" w:cs="Times New Roman"/>
          <w:sz w:val="28"/>
          <w:szCs w:val="28"/>
        </w:rPr>
        <w:t>сайта</w:t>
      </w:r>
      <w:r w:rsidR="002866B1">
        <w:rPr>
          <w:rFonts w:ascii="Times New Roman" w:hAnsi="Times New Roman" w:cs="Times New Roman"/>
          <w:sz w:val="28"/>
          <w:szCs w:val="28"/>
        </w:rPr>
        <w:t>, проживающим в городе Казани,</w:t>
      </w:r>
      <w:r w:rsidR="007B6984">
        <w:rPr>
          <w:rFonts w:ascii="Times New Roman" w:hAnsi="Times New Roman" w:cs="Times New Roman"/>
          <w:sz w:val="28"/>
          <w:szCs w:val="28"/>
        </w:rPr>
        <w:t xml:space="preserve"> </w:t>
      </w:r>
      <w:r w:rsidRPr="009100B2">
        <w:rPr>
          <w:rFonts w:ascii="Times New Roman" w:hAnsi="Times New Roman" w:cs="Times New Roman"/>
          <w:sz w:val="28"/>
          <w:szCs w:val="28"/>
        </w:rPr>
        <w:t>предлагалось ответить на вопрос</w:t>
      </w:r>
      <w:r w:rsidR="007D6100">
        <w:rPr>
          <w:rFonts w:ascii="Times New Roman" w:hAnsi="Times New Roman" w:cs="Times New Roman"/>
          <w:sz w:val="28"/>
          <w:szCs w:val="28"/>
        </w:rPr>
        <w:t>ы</w:t>
      </w:r>
      <w:r w:rsidR="00D94F97">
        <w:rPr>
          <w:rFonts w:ascii="Times New Roman" w:hAnsi="Times New Roman" w:cs="Times New Roman"/>
          <w:sz w:val="28"/>
          <w:szCs w:val="28"/>
        </w:rPr>
        <w:t xml:space="preserve">, касающиеся </w:t>
      </w:r>
      <w:r w:rsidR="00D94F97">
        <w:rPr>
          <w:rStyle w:val="a9"/>
          <w:rFonts w:ascii="Times New Roman" w:hAnsi="Times New Roman" w:cs="Times New Roman"/>
          <w:b w:val="0"/>
          <w:color w:val="303030"/>
          <w:sz w:val="28"/>
          <w:szCs w:val="28"/>
          <w:shd w:val="clear" w:color="auto" w:fill="FFFFFF"/>
        </w:rPr>
        <w:t>разработки</w:t>
      </w:r>
      <w:r w:rsidR="00D94F97" w:rsidRPr="00D94F97">
        <w:rPr>
          <w:rStyle w:val="a9"/>
          <w:rFonts w:ascii="Times New Roman" w:hAnsi="Times New Roman" w:cs="Times New Roman"/>
          <w:b w:val="0"/>
          <w:color w:val="303030"/>
          <w:sz w:val="28"/>
          <w:szCs w:val="28"/>
          <w:shd w:val="clear" w:color="auto" w:fill="FFFFFF"/>
        </w:rPr>
        <w:t xml:space="preserve"> новой маршрутной сети</w:t>
      </w:r>
      <w:r w:rsidR="002866B1">
        <w:rPr>
          <w:rStyle w:val="a9"/>
          <w:rFonts w:ascii="Times New Roman" w:hAnsi="Times New Roman" w:cs="Times New Roman"/>
          <w:b w:val="0"/>
          <w:color w:val="303030"/>
          <w:sz w:val="28"/>
          <w:szCs w:val="28"/>
          <w:shd w:val="clear" w:color="auto" w:fill="FFFFFF"/>
        </w:rPr>
        <w:t xml:space="preserve"> столицы</w:t>
      </w:r>
      <w:r w:rsidR="00F74BB4">
        <w:rPr>
          <w:rStyle w:val="a9"/>
          <w:rFonts w:ascii="Times New Roman" w:hAnsi="Times New Roman" w:cs="Times New Roman"/>
          <w:b w:val="0"/>
          <w:color w:val="303030"/>
          <w:sz w:val="28"/>
          <w:szCs w:val="28"/>
          <w:shd w:val="clear" w:color="auto" w:fill="FFFFFF"/>
        </w:rPr>
        <w:t xml:space="preserve"> республики</w:t>
      </w:r>
      <w:r w:rsidR="00D94F97">
        <w:rPr>
          <w:rStyle w:val="a9"/>
          <w:rFonts w:ascii="Times New Roman" w:hAnsi="Times New Roman" w:cs="Times New Roman"/>
          <w:b w:val="0"/>
          <w:color w:val="303030"/>
          <w:sz w:val="28"/>
          <w:szCs w:val="28"/>
          <w:shd w:val="clear" w:color="auto" w:fill="FFFFFF"/>
        </w:rPr>
        <w:t>.</w:t>
      </w:r>
      <w:r w:rsidRPr="009100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0B2" w:rsidRDefault="009100B2" w:rsidP="007179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 xml:space="preserve">Результаты опроса показали, что </w:t>
      </w:r>
      <w:r w:rsidR="00AB4AA5">
        <w:rPr>
          <w:rFonts w:ascii="Times New Roman" w:hAnsi="Times New Roman" w:cs="Times New Roman"/>
          <w:sz w:val="28"/>
          <w:szCs w:val="28"/>
        </w:rPr>
        <w:t>более половины участников опроса (58,3 п</w:t>
      </w:r>
      <w:r w:rsidR="009834FD">
        <w:rPr>
          <w:rFonts w:ascii="Times New Roman" w:hAnsi="Times New Roman" w:cs="Times New Roman"/>
          <w:sz w:val="28"/>
          <w:szCs w:val="28"/>
        </w:rPr>
        <w:t>роцента) пользуются общественным</w:t>
      </w:r>
      <w:r w:rsidR="00AB4AA5">
        <w:rPr>
          <w:rFonts w:ascii="Times New Roman" w:hAnsi="Times New Roman" w:cs="Times New Roman"/>
          <w:sz w:val="28"/>
          <w:szCs w:val="28"/>
        </w:rPr>
        <w:t xml:space="preserve"> транспортом</w:t>
      </w:r>
      <w:r w:rsidR="000A00B3">
        <w:rPr>
          <w:rFonts w:ascii="Times New Roman" w:hAnsi="Times New Roman" w:cs="Times New Roman"/>
          <w:sz w:val="28"/>
          <w:szCs w:val="28"/>
        </w:rPr>
        <w:t xml:space="preserve"> </w:t>
      </w:r>
      <w:r w:rsidR="00AB4AA5">
        <w:rPr>
          <w:rFonts w:ascii="Times New Roman" w:hAnsi="Times New Roman" w:cs="Times New Roman"/>
          <w:sz w:val="28"/>
          <w:szCs w:val="28"/>
        </w:rPr>
        <w:t>ежедневно</w:t>
      </w:r>
      <w:r w:rsidR="00B04575">
        <w:rPr>
          <w:rFonts w:ascii="Times New Roman" w:hAnsi="Times New Roman" w:cs="Times New Roman"/>
          <w:sz w:val="28"/>
          <w:szCs w:val="28"/>
        </w:rPr>
        <w:t>, каждый пятый (20,8 процента) – несколько раз в неделю и</w:t>
      </w:r>
      <w:r w:rsidR="00AC00E2">
        <w:rPr>
          <w:rFonts w:ascii="Times New Roman" w:hAnsi="Times New Roman" w:cs="Times New Roman"/>
          <w:sz w:val="28"/>
          <w:szCs w:val="28"/>
        </w:rPr>
        <w:t>ли</w:t>
      </w:r>
      <w:r w:rsidR="00B04575">
        <w:rPr>
          <w:rFonts w:ascii="Times New Roman" w:hAnsi="Times New Roman" w:cs="Times New Roman"/>
          <w:sz w:val="28"/>
          <w:szCs w:val="28"/>
        </w:rPr>
        <w:t xml:space="preserve"> в месяц</w:t>
      </w:r>
      <w:r w:rsidR="00AB4AA5">
        <w:rPr>
          <w:rFonts w:ascii="Times New Roman" w:hAnsi="Times New Roman" w:cs="Times New Roman"/>
          <w:sz w:val="28"/>
          <w:szCs w:val="28"/>
        </w:rPr>
        <w:t xml:space="preserve"> </w:t>
      </w:r>
      <w:r w:rsidR="00435F87">
        <w:rPr>
          <w:rFonts w:ascii="Times New Roman" w:hAnsi="Times New Roman" w:cs="Times New Roman"/>
          <w:sz w:val="28"/>
          <w:szCs w:val="28"/>
        </w:rPr>
        <w:t>(рисунок 1)</w:t>
      </w:r>
      <w:r w:rsidRPr="009100B2">
        <w:rPr>
          <w:rFonts w:ascii="Times New Roman" w:hAnsi="Times New Roman" w:cs="Times New Roman"/>
          <w:sz w:val="28"/>
          <w:szCs w:val="28"/>
        </w:rPr>
        <w:t>.</w:t>
      </w:r>
    </w:p>
    <w:p w:rsidR="002713CB" w:rsidRDefault="00DA668A" w:rsidP="007B69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FAB08B9" wp14:editId="12995934">
            <wp:extent cx="5905500" cy="18859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713CB" w:rsidRDefault="002713CB" w:rsidP="007B6984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 w:rsidRPr="007B6984">
        <w:rPr>
          <w:rFonts w:ascii="Times New Roman" w:hAnsi="Times New Roman" w:cs="Times New Roman"/>
          <w:i/>
          <w:sz w:val="20"/>
          <w:szCs w:val="20"/>
        </w:rPr>
        <w:t>Рисунок 1 – Распределение ответов на вопрос: «</w:t>
      </w:r>
      <w:r w:rsidR="00DA668A" w:rsidRPr="00DA668A">
        <w:rPr>
          <w:rFonts w:ascii="Times New Roman" w:hAnsi="Times New Roman" w:cs="Times New Roman"/>
          <w:i/>
          <w:sz w:val="20"/>
          <w:szCs w:val="20"/>
        </w:rPr>
        <w:t xml:space="preserve">Как часто Вы пользуетесь </w:t>
      </w:r>
      <w:r w:rsidR="00D745F2">
        <w:rPr>
          <w:rFonts w:ascii="Times New Roman" w:hAnsi="Times New Roman" w:cs="Times New Roman"/>
          <w:i/>
          <w:sz w:val="20"/>
          <w:szCs w:val="20"/>
        </w:rPr>
        <w:t>общественным транспортом</w:t>
      </w:r>
      <w:r w:rsidR="00DA668A" w:rsidRPr="00DA668A">
        <w:rPr>
          <w:rFonts w:ascii="Times New Roman" w:hAnsi="Times New Roman" w:cs="Times New Roman"/>
          <w:i/>
          <w:sz w:val="20"/>
          <w:szCs w:val="20"/>
        </w:rPr>
        <w:t xml:space="preserve"> в Казани?</w:t>
      </w:r>
      <w:r w:rsidRPr="007B6984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»</w:t>
      </w:r>
    </w:p>
    <w:p w:rsidR="007454F2" w:rsidRDefault="007454F2" w:rsidP="00376F13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3572" w:rsidRPr="00435F87" w:rsidRDefault="005235C0" w:rsidP="00376F13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D25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абсолютное большинство (95,8 процента) перемещается на автобусе, более четверти (29,2 процента) – на трамвае, </w:t>
      </w:r>
      <w:r w:rsidR="00870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десятый</w:t>
      </w:r>
      <w:r w:rsidR="00D25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(12,5 процента) – на метро и всего 4,2 процента – на троллейбусе</w:t>
      </w:r>
      <w:r w:rsidR="0030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(рисунок 2)</w:t>
      </w:r>
      <w:r w:rsidR="00AD3572" w:rsidRPr="0043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01C5" w:rsidRDefault="00836773" w:rsidP="00B01AD8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0284FAE" wp14:editId="6A833FC5">
            <wp:extent cx="5915025" cy="18383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F01C5" w:rsidRDefault="009F01C5" w:rsidP="007B6984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Рисунок 2 – Ра</w:t>
      </w:r>
      <w:r w:rsidR="00C92CC7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спределение ответов на вопрос: «</w:t>
      </w:r>
      <w:r w:rsidR="00596AC9" w:rsidRPr="00596AC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Каким видом </w:t>
      </w:r>
      <w:r w:rsidR="000A00B3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ОТ В</w:t>
      </w:r>
      <w:r w:rsidR="00596AC9" w:rsidRPr="00596AC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ы пользуетесь чаще всего?</w:t>
      </w:r>
      <w:r w:rsidR="00C92CC7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»</w:t>
      </w:r>
      <w:r w:rsidR="00532E0D" w:rsidRPr="00532E0D">
        <w:rPr>
          <w:noProof/>
          <w:lang w:eastAsia="ru-RU"/>
        </w:rPr>
        <w:t xml:space="preserve"> </w:t>
      </w:r>
    </w:p>
    <w:p w:rsidR="00B51C4F" w:rsidRDefault="00DA2989" w:rsidP="0071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Более трети респондентов (37,5 процента) тратят на дорогу до ближайшей остановки 6-10 минут пешком, треть (33,3 процента) – 11-20 минут, каждый пятый (20,8 процента) – 21-30 минут</w:t>
      </w:r>
      <w:r w:rsidR="00B51C4F">
        <w:rPr>
          <w:rFonts w:ascii="Times New Roman" w:hAnsi="Times New Roman" w:cs="Times New Roman"/>
          <w:sz w:val="28"/>
          <w:szCs w:val="28"/>
        </w:rPr>
        <w:t xml:space="preserve"> (рисунок 3).</w:t>
      </w:r>
    </w:p>
    <w:p w:rsidR="00B51C4F" w:rsidRDefault="00C606DC" w:rsidP="00B51C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640B582" wp14:editId="334D8E2B">
            <wp:extent cx="5962650" cy="1518920"/>
            <wp:effectExtent l="0" t="0" r="0" b="508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51C4F" w:rsidRDefault="00B51C4F" w:rsidP="00B51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Рисунок 3 – Распределение ответов на вопрос: «</w:t>
      </w:r>
      <w:r w:rsidR="00C606DC" w:rsidRPr="00C606DC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Как далеко от </w:t>
      </w:r>
      <w:r w:rsidR="009834FD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В</w:t>
      </w:r>
      <w:r w:rsidR="00C606DC" w:rsidRPr="00C606DC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ашего дома расположена ближайшая остановка автобуса, троллейбуса, трамвая, станция метро, городской электрички?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»</w:t>
      </w:r>
    </w:p>
    <w:p w:rsidR="00B51C4F" w:rsidRDefault="00B51C4F" w:rsidP="00B51C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994" w:rsidRDefault="00F3772B" w:rsidP="007B69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B5D1E">
        <w:rPr>
          <w:rFonts w:ascii="Times New Roman" w:hAnsi="Times New Roman" w:cs="Times New Roman"/>
          <w:sz w:val="28"/>
          <w:szCs w:val="28"/>
        </w:rPr>
        <w:t xml:space="preserve">жидать транспортное средство каждому пятому участнику опроса (20,8 процента) приходится </w:t>
      </w:r>
      <w:r w:rsidR="006A5A99">
        <w:rPr>
          <w:rFonts w:ascii="Times New Roman" w:hAnsi="Times New Roman" w:cs="Times New Roman"/>
          <w:sz w:val="28"/>
          <w:szCs w:val="28"/>
        </w:rPr>
        <w:t xml:space="preserve">в среднем </w:t>
      </w:r>
      <w:r w:rsidR="001B5D1E">
        <w:rPr>
          <w:rFonts w:ascii="Times New Roman" w:hAnsi="Times New Roman" w:cs="Times New Roman"/>
          <w:sz w:val="28"/>
          <w:szCs w:val="28"/>
        </w:rPr>
        <w:t xml:space="preserve">5 минут и </w:t>
      </w:r>
      <w:r w:rsidR="009834FD">
        <w:rPr>
          <w:rFonts w:ascii="Times New Roman" w:hAnsi="Times New Roman" w:cs="Times New Roman"/>
          <w:sz w:val="28"/>
          <w:szCs w:val="28"/>
        </w:rPr>
        <w:t>менее</w:t>
      </w:r>
      <w:r w:rsidR="001B5D1E">
        <w:rPr>
          <w:rFonts w:ascii="Times New Roman" w:hAnsi="Times New Roman" w:cs="Times New Roman"/>
          <w:sz w:val="28"/>
          <w:szCs w:val="28"/>
        </w:rPr>
        <w:t xml:space="preserve"> или 11-15 минут</w:t>
      </w:r>
      <w:r w:rsidR="006A5A99">
        <w:rPr>
          <w:rFonts w:ascii="Times New Roman" w:hAnsi="Times New Roman" w:cs="Times New Roman"/>
          <w:sz w:val="28"/>
          <w:szCs w:val="28"/>
        </w:rPr>
        <w:t>, 16,7 процента - б</w:t>
      </w:r>
      <w:r w:rsidR="001B5D1E">
        <w:rPr>
          <w:rFonts w:ascii="Times New Roman" w:hAnsi="Times New Roman" w:cs="Times New Roman"/>
          <w:sz w:val="28"/>
          <w:szCs w:val="28"/>
        </w:rPr>
        <w:t>олее 15 минут</w:t>
      </w:r>
      <w:r w:rsidR="006A5A99">
        <w:rPr>
          <w:rFonts w:ascii="Times New Roman" w:hAnsi="Times New Roman" w:cs="Times New Roman"/>
          <w:sz w:val="28"/>
          <w:szCs w:val="28"/>
        </w:rPr>
        <w:t>. Большинство (41,7 процента) тратят на это 6-10 минут</w:t>
      </w:r>
      <w:r w:rsidR="00746508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9834FD">
        <w:rPr>
          <w:rFonts w:ascii="Times New Roman" w:hAnsi="Times New Roman" w:cs="Times New Roman"/>
          <w:sz w:val="28"/>
          <w:szCs w:val="28"/>
        </w:rPr>
        <w:t>4</w:t>
      </w:r>
      <w:r w:rsidR="00746508">
        <w:rPr>
          <w:rFonts w:ascii="Times New Roman" w:hAnsi="Times New Roman" w:cs="Times New Roman"/>
          <w:sz w:val="28"/>
          <w:szCs w:val="28"/>
        </w:rPr>
        <w:t>).</w:t>
      </w:r>
    </w:p>
    <w:p w:rsidR="00C43CCD" w:rsidRDefault="006A5673" w:rsidP="008365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0175D5E" wp14:editId="3C41E4E4">
            <wp:extent cx="5905500" cy="1518920"/>
            <wp:effectExtent l="0" t="0" r="0" b="508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46508" w:rsidRDefault="00746508" w:rsidP="00F3772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Рисунок </w:t>
      </w:r>
      <w:r w:rsidR="005310B0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4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– Распределение ответов на вопрос: «</w:t>
      </w:r>
      <w:r w:rsidR="00AC00E2" w:rsidRPr="00AC00E2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Сколько в среднем Вы ожидаете транспортное средство на остановке?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»</w:t>
      </w:r>
      <w:r w:rsidRPr="00532E0D">
        <w:rPr>
          <w:noProof/>
          <w:lang w:eastAsia="ru-RU"/>
        </w:rPr>
        <w:t xml:space="preserve"> </w:t>
      </w:r>
    </w:p>
    <w:p w:rsidR="00F3772B" w:rsidRDefault="00F3772B" w:rsidP="00F3772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</w:p>
    <w:p w:rsidR="00AA37FF" w:rsidRDefault="00AA37FF" w:rsidP="00F377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среднем половина пользователей </w:t>
      </w:r>
      <w:r w:rsidR="009834FD">
        <w:rPr>
          <w:rFonts w:ascii="Times New Roman" w:hAnsi="Times New Roman" w:cs="Times New Roman"/>
          <w:sz w:val="28"/>
          <w:szCs w:val="28"/>
        </w:rPr>
        <w:t>общественного транспорта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(54,2 процента) совершают одну пересадку, чтобы добраться к месту назначения. Две пересадки делают 4,2 процента. Без пересадок добираются 41,7 процента (рисунок 5).</w:t>
      </w:r>
    </w:p>
    <w:p w:rsidR="00AA37FF" w:rsidRDefault="00AA37FF" w:rsidP="00AA37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88C972B" wp14:editId="5E75B11C">
            <wp:extent cx="5876925" cy="156210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A37FF" w:rsidRPr="00AA37FF" w:rsidRDefault="00AA37FF" w:rsidP="00AA37FF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Рисунок 5 – Распределение ответов на вопрос: «</w:t>
      </w:r>
      <w:r w:rsidRPr="00632374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Какое количество пересадок в среднем Вы совершаете в поездке к месту назначения?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»</w:t>
      </w:r>
    </w:p>
    <w:p w:rsidR="00AA37FF" w:rsidRDefault="00AA37FF" w:rsidP="00BD0F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FAD" w:rsidRDefault="00066849" w:rsidP="00F377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третий пассажир из участников опроса тратит на дорогу более 40 минут</w:t>
      </w:r>
      <w:r w:rsidR="009834FD">
        <w:rPr>
          <w:rFonts w:ascii="Times New Roman" w:hAnsi="Times New Roman" w:cs="Times New Roman"/>
          <w:sz w:val="28"/>
          <w:szCs w:val="28"/>
        </w:rPr>
        <w:t>. Каждый пятый затрачивает 30-40 минут, столько же - 10-20 минут</w:t>
      </w:r>
      <w:r>
        <w:rPr>
          <w:rFonts w:ascii="Times New Roman" w:hAnsi="Times New Roman" w:cs="Times New Roman"/>
          <w:sz w:val="28"/>
          <w:szCs w:val="28"/>
        </w:rPr>
        <w:t>. И только 4,2 процента добираются менее, чем за 10 минут (рисунок 6).</w:t>
      </w:r>
    </w:p>
    <w:p w:rsidR="00AA37FF" w:rsidRDefault="00AA37FF" w:rsidP="00AA37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2208335" wp14:editId="2F46382E">
            <wp:extent cx="5829300" cy="1781175"/>
            <wp:effectExtent l="0" t="0" r="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A37FF" w:rsidRDefault="00AA37FF" w:rsidP="00AA37F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Рисунок 6 – Распределение ответов на вопрос: «</w:t>
      </w:r>
      <w:r w:rsidRPr="00AA37FF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Сколько составляет Ваше среднее время перемещения от места жительства до места работы/учебы?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»</w:t>
      </w:r>
    </w:p>
    <w:p w:rsidR="00AA37FF" w:rsidRDefault="00AA37FF" w:rsidP="00957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849" w:rsidRDefault="00957042" w:rsidP="00F377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Льготы на проезд общественным транспортом среди участников опроса имеют </w:t>
      </w:r>
      <w:r w:rsidR="007570C3">
        <w:rPr>
          <w:rFonts w:ascii="Times New Roman" w:hAnsi="Times New Roman" w:cs="Times New Roman"/>
          <w:sz w:val="28"/>
          <w:szCs w:val="28"/>
        </w:rPr>
        <w:t>всего</w:t>
      </w:r>
      <w:r>
        <w:rPr>
          <w:rFonts w:ascii="Times New Roman" w:hAnsi="Times New Roman" w:cs="Times New Roman"/>
          <w:sz w:val="28"/>
          <w:szCs w:val="28"/>
        </w:rPr>
        <w:t xml:space="preserve"> 25,0 процентов (рисунок 7).</w:t>
      </w:r>
    </w:p>
    <w:p w:rsidR="00066849" w:rsidRDefault="00066849" w:rsidP="000668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4758D6C" wp14:editId="2AB150A9">
            <wp:extent cx="5867400" cy="177165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22A38" w:rsidRDefault="00522A38" w:rsidP="00522A3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Рисунок 7 – Распределение ответов на вопрос: «</w:t>
      </w:r>
      <w:r w:rsidRPr="00522A38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Имеются ли у Вас льготы на проезд </w:t>
      </w:r>
      <w:r w:rsidR="009834FD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общественным транспортом</w:t>
      </w:r>
      <w:r w:rsidRPr="00522A38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?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»</w:t>
      </w:r>
    </w:p>
    <w:p w:rsidR="007454F2" w:rsidRDefault="00DC4D58" w:rsidP="007454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целом к</w:t>
      </w:r>
      <w:r w:rsidR="00EA4759">
        <w:rPr>
          <w:rFonts w:ascii="Times New Roman" w:hAnsi="Times New Roman" w:cs="Times New Roman"/>
          <w:sz w:val="28"/>
          <w:szCs w:val="28"/>
        </w:rPr>
        <w:t xml:space="preserve">ачество пассажирских перевозок </w:t>
      </w:r>
      <w:r w:rsidR="009834FD">
        <w:rPr>
          <w:rFonts w:ascii="Times New Roman" w:hAnsi="Times New Roman" w:cs="Times New Roman"/>
          <w:sz w:val="28"/>
          <w:szCs w:val="28"/>
        </w:rPr>
        <w:t>общественным транспортом</w:t>
      </w:r>
      <w:r w:rsidR="00EA4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4759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EA4759">
        <w:rPr>
          <w:rFonts w:ascii="Times New Roman" w:hAnsi="Times New Roman" w:cs="Times New Roman"/>
          <w:sz w:val="28"/>
          <w:szCs w:val="28"/>
        </w:rPr>
        <w:t xml:space="preserve"> большинство (58,3 процента) оценивают на 3 балла (удовлетворительно). Не удовлетворены качеством суммарно 33,4 процента респондентов (рисунок </w:t>
      </w:r>
      <w:r>
        <w:rPr>
          <w:rFonts w:ascii="Times New Roman" w:hAnsi="Times New Roman" w:cs="Times New Roman"/>
          <w:sz w:val="28"/>
          <w:szCs w:val="28"/>
        </w:rPr>
        <w:t>8</w:t>
      </w:r>
      <w:r w:rsidR="00EA475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A669D" w:rsidRDefault="00EA4759" w:rsidP="00F377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</w:t>
      </w:r>
      <w:r w:rsidR="00455095">
        <w:rPr>
          <w:rFonts w:ascii="Times New Roman" w:hAnsi="Times New Roman" w:cs="Times New Roman"/>
          <w:sz w:val="28"/>
          <w:szCs w:val="28"/>
        </w:rPr>
        <w:t>яя оценка</w:t>
      </w:r>
      <w:r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45509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3,3 балла</w:t>
      </w:r>
      <w:r w:rsidR="00E85BD4">
        <w:rPr>
          <w:rFonts w:ascii="Times New Roman" w:hAnsi="Times New Roman" w:cs="Times New Roman"/>
          <w:sz w:val="28"/>
          <w:szCs w:val="28"/>
        </w:rPr>
        <w:t>.</w:t>
      </w:r>
    </w:p>
    <w:p w:rsidR="008A669D" w:rsidRDefault="00F3772B" w:rsidP="008365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BC8165D" wp14:editId="5F0B4B38">
            <wp:extent cx="5810250" cy="1762125"/>
            <wp:effectExtent l="0" t="0" r="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85BD4" w:rsidRDefault="00C845A7" w:rsidP="005C696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Рисунок </w:t>
      </w:r>
      <w:r w:rsidR="00DC4D58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8</w:t>
      </w:r>
      <w:r w:rsidR="00E85BD4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– Распределение ответов на вопрос: «</w:t>
      </w:r>
      <w:r w:rsidR="00A349E7" w:rsidRPr="00A349E7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Как Вы оцениваете качество пассажирских перевозок </w:t>
      </w:r>
      <w:r w:rsidR="009834FD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общественным транспортом</w:t>
      </w:r>
      <w:r w:rsidR="00A349E7" w:rsidRPr="00A349E7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г. Казани по 5-балльной шкале?</w:t>
      </w:r>
      <w:r w:rsidR="00E85BD4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»</w:t>
      </w:r>
      <w:r w:rsidR="00E85BD4" w:rsidRPr="00532E0D">
        <w:rPr>
          <w:noProof/>
          <w:lang w:eastAsia="ru-RU"/>
        </w:rPr>
        <w:t xml:space="preserve"> </w:t>
      </w:r>
    </w:p>
    <w:p w:rsidR="00632374" w:rsidRDefault="00632374" w:rsidP="00632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5095" w:rsidRDefault="00F87E16" w:rsidP="00D5563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недостатков </w:t>
      </w:r>
      <w:r w:rsidR="009834FD">
        <w:rPr>
          <w:rFonts w:ascii="Times New Roman" w:hAnsi="Times New Roman" w:cs="Times New Roman"/>
          <w:sz w:val="28"/>
          <w:szCs w:val="28"/>
        </w:rPr>
        <w:t>общественного транспорта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респонденты чаще всего отмечали несоблюдение расписания движения (66,7 процента)</w:t>
      </w:r>
      <w:r w:rsidR="00845331">
        <w:rPr>
          <w:rFonts w:ascii="Times New Roman" w:hAnsi="Times New Roman" w:cs="Times New Roman"/>
          <w:sz w:val="28"/>
          <w:szCs w:val="28"/>
        </w:rPr>
        <w:t xml:space="preserve">, </w:t>
      </w:r>
      <w:r w:rsidR="009834FD">
        <w:rPr>
          <w:rFonts w:ascii="Times New Roman" w:hAnsi="Times New Roman" w:cs="Times New Roman"/>
          <w:sz w:val="28"/>
          <w:szCs w:val="28"/>
        </w:rPr>
        <w:t>высокую стоимость</w:t>
      </w:r>
      <w:r w:rsidR="00845331">
        <w:rPr>
          <w:rFonts w:ascii="Times New Roman" w:hAnsi="Times New Roman" w:cs="Times New Roman"/>
          <w:sz w:val="28"/>
          <w:szCs w:val="28"/>
        </w:rPr>
        <w:t xml:space="preserve"> проезд</w:t>
      </w:r>
      <w:r w:rsidR="00B87E83">
        <w:rPr>
          <w:rFonts w:ascii="Times New Roman" w:hAnsi="Times New Roman" w:cs="Times New Roman"/>
          <w:sz w:val="28"/>
          <w:szCs w:val="28"/>
        </w:rPr>
        <w:t>а</w:t>
      </w:r>
      <w:r w:rsidR="00845331">
        <w:rPr>
          <w:rFonts w:ascii="Times New Roman" w:hAnsi="Times New Roman" w:cs="Times New Roman"/>
          <w:sz w:val="28"/>
          <w:szCs w:val="28"/>
        </w:rPr>
        <w:t xml:space="preserve"> (41,7 процента) и низкий </w:t>
      </w:r>
      <w:r w:rsidR="009834FD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="00845331">
        <w:rPr>
          <w:rFonts w:ascii="Times New Roman" w:hAnsi="Times New Roman" w:cs="Times New Roman"/>
          <w:sz w:val="28"/>
          <w:szCs w:val="28"/>
        </w:rPr>
        <w:t>комфорт</w:t>
      </w:r>
      <w:r w:rsidR="009834FD">
        <w:rPr>
          <w:rFonts w:ascii="Times New Roman" w:hAnsi="Times New Roman" w:cs="Times New Roman"/>
          <w:sz w:val="28"/>
          <w:szCs w:val="28"/>
        </w:rPr>
        <w:t>а</w:t>
      </w:r>
      <w:r w:rsidR="00845331">
        <w:rPr>
          <w:rFonts w:ascii="Times New Roman" w:hAnsi="Times New Roman" w:cs="Times New Roman"/>
          <w:sz w:val="28"/>
          <w:szCs w:val="28"/>
        </w:rPr>
        <w:t xml:space="preserve"> (37,5 процента).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5331">
        <w:rPr>
          <w:rFonts w:ascii="Times New Roman" w:hAnsi="Times New Roman" w:cs="Times New Roman"/>
          <w:sz w:val="28"/>
          <w:szCs w:val="28"/>
        </w:rPr>
        <w:t>Каждый четвертый (25,0 процентов) находит неудобными маршруты, 16,7 процента недовольны скоростью проезда, 8,3 процента считают неудобным время работы общ</w:t>
      </w:r>
      <w:r w:rsidR="00DC4D58">
        <w:rPr>
          <w:rFonts w:ascii="Times New Roman" w:hAnsi="Times New Roman" w:cs="Times New Roman"/>
          <w:sz w:val="28"/>
          <w:szCs w:val="28"/>
        </w:rPr>
        <w:t>ественного транспорта (рисунок 9</w:t>
      </w:r>
      <w:r w:rsidR="00845331">
        <w:rPr>
          <w:rFonts w:ascii="Times New Roman" w:hAnsi="Times New Roman" w:cs="Times New Roman"/>
          <w:sz w:val="28"/>
          <w:szCs w:val="28"/>
        </w:rPr>
        <w:t>).</w:t>
      </w:r>
    </w:p>
    <w:p w:rsidR="00455095" w:rsidRDefault="00455095" w:rsidP="008365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CB1BA13" wp14:editId="33F0D8D3">
            <wp:extent cx="5905500" cy="23431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55095" w:rsidRDefault="00455095" w:rsidP="0045509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Рисунок</w:t>
      </w:r>
      <w:r w:rsidR="00D55634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</w:t>
      </w:r>
      <w:r w:rsidR="00DC4D58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9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– Распределение ответов на вопрос: «</w:t>
      </w:r>
      <w:r w:rsidRPr="00455095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Укажите 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два</w:t>
      </w:r>
      <w:r w:rsidRPr="00455095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главных недостатка </w:t>
      </w:r>
      <w:r w:rsidR="00B87E83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общественного транспорта</w:t>
      </w:r>
      <w:r w:rsidRPr="00455095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</w:t>
      </w:r>
      <w:proofErr w:type="spellStart"/>
      <w:r w:rsidR="00845331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г.</w:t>
      </w:r>
      <w:r w:rsidRPr="00455095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Казани</w:t>
      </w:r>
      <w:proofErr w:type="spellEnd"/>
      <w:r w:rsidRPr="00455095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?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»</w:t>
      </w:r>
    </w:p>
    <w:p w:rsidR="00D55634" w:rsidRDefault="000A00B3" w:rsidP="000A00B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Далее участникам опроса было предложено оценить важность некоторых характеристик в работе </w:t>
      </w:r>
      <w:r w:rsidR="00B87E83">
        <w:rPr>
          <w:rFonts w:ascii="Times New Roman" w:hAnsi="Times New Roman" w:cs="Times New Roman"/>
          <w:sz w:val="28"/>
          <w:szCs w:val="28"/>
        </w:rPr>
        <w:t>общественного транспорта</w:t>
      </w:r>
      <w:r>
        <w:rPr>
          <w:rFonts w:ascii="Times New Roman" w:hAnsi="Times New Roman" w:cs="Times New Roman"/>
          <w:sz w:val="28"/>
          <w:szCs w:val="28"/>
        </w:rPr>
        <w:t xml:space="preserve"> по шкале от 1 (не важно) до 10 (очень важно) баллов. Результаты показали, что наиболее важными характеристиками для них являются соблюдение расписания движения </w:t>
      </w:r>
      <w:r w:rsidR="00783E6D">
        <w:rPr>
          <w:rFonts w:ascii="Times New Roman" w:hAnsi="Times New Roman" w:cs="Times New Roman"/>
          <w:sz w:val="28"/>
          <w:szCs w:val="28"/>
        </w:rPr>
        <w:t>общественного транспорта</w:t>
      </w:r>
      <w:r>
        <w:rPr>
          <w:rFonts w:ascii="Times New Roman" w:hAnsi="Times New Roman" w:cs="Times New Roman"/>
          <w:sz w:val="28"/>
          <w:szCs w:val="28"/>
        </w:rPr>
        <w:t>, время ожидания транспортного средства, следующего по маршруту (9,1 балла), ценовая доступность поездок (8,8 балла), доступность остановок и транспортных средств для маломобильных групп населения (8,6 балла). Наименее важными характеристиками являются эк</w:t>
      </w:r>
      <w:r w:rsidR="00D12B99">
        <w:rPr>
          <w:rFonts w:ascii="Times New Roman" w:hAnsi="Times New Roman" w:cs="Times New Roman"/>
          <w:sz w:val="28"/>
          <w:szCs w:val="28"/>
        </w:rPr>
        <w:t>ологический класс автобусов (7,</w:t>
      </w:r>
      <w:r>
        <w:rPr>
          <w:rFonts w:ascii="Times New Roman" w:hAnsi="Times New Roman" w:cs="Times New Roman"/>
          <w:sz w:val="28"/>
          <w:szCs w:val="28"/>
        </w:rPr>
        <w:t>5 балла) и уровень шума в салоне транспортных средств (7,0 баллов).</w:t>
      </w:r>
    </w:p>
    <w:p w:rsidR="000A00B3" w:rsidRDefault="000A00B3" w:rsidP="000A00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28DF4D4" wp14:editId="52D26E98">
            <wp:extent cx="5940425" cy="5429250"/>
            <wp:effectExtent l="0" t="0" r="3175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A00B3" w:rsidRDefault="000A00B3" w:rsidP="000A00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Рисунок 10 – Распределение ответов на вопрос: «Оцените важность характеристики по 10-балльной шкале, где 1 балл – не важно, 10 баллов </w:t>
      </w:r>
      <w:r w:rsidR="00B2653C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- 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очень важно»</w:t>
      </w:r>
    </w:p>
    <w:p w:rsidR="000A00B3" w:rsidRDefault="00367129" w:rsidP="000A00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075AC">
        <w:rPr>
          <w:rFonts w:ascii="Times New Roman" w:hAnsi="Times New Roman" w:cs="Times New Roman"/>
          <w:sz w:val="28"/>
          <w:szCs w:val="28"/>
        </w:rPr>
        <w:t xml:space="preserve">Большая часть опрошенных (66,7 процента) считает целесообразным </w:t>
      </w:r>
      <w:r w:rsidR="003075AC" w:rsidRPr="003075AC">
        <w:rPr>
          <w:rFonts w:ascii="Times New Roman" w:hAnsi="Times New Roman" w:cs="Times New Roman"/>
          <w:sz w:val="28"/>
          <w:szCs w:val="28"/>
        </w:rPr>
        <w:t>введение проездных документов с новыми тарифами, в том числе с возможностью бесплатных пересадок с одного маршрута на другой в течение срока поездки (60, 70, либо 90 минут)</w:t>
      </w:r>
      <w:r w:rsidR="003075AC">
        <w:rPr>
          <w:rFonts w:ascii="Times New Roman" w:hAnsi="Times New Roman" w:cs="Times New Roman"/>
          <w:sz w:val="28"/>
          <w:szCs w:val="28"/>
        </w:rPr>
        <w:t>. Около 30 процентов не согласны с этим.  Свой вариант ответа предложил</w:t>
      </w:r>
      <w:r w:rsidR="006C0298">
        <w:rPr>
          <w:rFonts w:ascii="Times New Roman" w:hAnsi="Times New Roman" w:cs="Times New Roman"/>
          <w:sz w:val="28"/>
          <w:szCs w:val="28"/>
        </w:rPr>
        <w:t>и</w:t>
      </w:r>
      <w:r w:rsidR="003075AC">
        <w:rPr>
          <w:rFonts w:ascii="Times New Roman" w:hAnsi="Times New Roman" w:cs="Times New Roman"/>
          <w:sz w:val="28"/>
          <w:szCs w:val="28"/>
        </w:rPr>
        <w:t xml:space="preserve"> 4,2 процента (рисунок 11).</w:t>
      </w:r>
    </w:p>
    <w:p w:rsidR="005C6961" w:rsidRDefault="009509C0" w:rsidP="009509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3F254D" wp14:editId="5686BD35">
            <wp:extent cx="5886450" cy="19050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509C0" w:rsidRPr="00F45853" w:rsidRDefault="009509C0" w:rsidP="009509C0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Рисунок </w:t>
      </w:r>
      <w:r w:rsidR="003075AC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11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– Распределение ответов на вопрос: «</w:t>
      </w:r>
      <w:r w:rsidRPr="00DC652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Считаете ли Вы целесообразным введение проездных документов с новыми тарифами, в т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ом </w:t>
      </w:r>
      <w:r w:rsidRPr="00DC652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ч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исле</w:t>
      </w:r>
      <w:r w:rsidRPr="00DC652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с возможностью бесплатных пересадок с одного маршрута на другой в течение срока поездки (60, 70, либо 90 минут</w:t>
      </w:r>
      <w:r w:rsidRPr="00F45853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)?»</w:t>
      </w:r>
    </w:p>
    <w:p w:rsidR="00D55634" w:rsidRDefault="00D55634" w:rsidP="0045509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298" w:rsidRDefault="002D34BA" w:rsidP="006C02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также отметить, что большинство</w:t>
      </w:r>
      <w:r w:rsidR="006C0298" w:rsidRPr="006C0298">
        <w:rPr>
          <w:rFonts w:ascii="Times New Roman" w:hAnsi="Times New Roman" w:cs="Times New Roman"/>
          <w:sz w:val="28"/>
          <w:szCs w:val="28"/>
        </w:rPr>
        <w:t xml:space="preserve"> </w:t>
      </w:r>
      <w:r w:rsidR="006C0298">
        <w:rPr>
          <w:rFonts w:ascii="Times New Roman" w:hAnsi="Times New Roman" w:cs="Times New Roman"/>
          <w:sz w:val="28"/>
          <w:szCs w:val="28"/>
        </w:rPr>
        <w:t>респондентов</w:t>
      </w:r>
      <w:r w:rsidR="006C0298" w:rsidRPr="006C02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(62,5 процента) </w:t>
      </w:r>
      <w:r w:rsidR="00A87A4F">
        <w:rPr>
          <w:rFonts w:ascii="Times New Roman" w:hAnsi="Times New Roman" w:cs="Times New Roman"/>
          <w:sz w:val="28"/>
          <w:szCs w:val="28"/>
        </w:rPr>
        <w:t>ни при каких условиях</w:t>
      </w:r>
      <w:r w:rsidR="00A87A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считает приемлемым</w:t>
      </w:r>
      <w:r w:rsidR="006C0298" w:rsidRPr="006C0298">
        <w:rPr>
          <w:rFonts w:ascii="Times New Roman" w:hAnsi="Times New Roman" w:cs="Times New Roman"/>
          <w:sz w:val="28"/>
          <w:szCs w:val="28"/>
        </w:rPr>
        <w:t xml:space="preserve"> изменение стоимости проезда</w:t>
      </w:r>
      <w:r>
        <w:rPr>
          <w:rFonts w:ascii="Times New Roman" w:hAnsi="Times New Roman" w:cs="Times New Roman"/>
          <w:sz w:val="28"/>
          <w:szCs w:val="28"/>
        </w:rPr>
        <w:t xml:space="preserve">. При повышении комфортности пользования общественным транспортом </w:t>
      </w:r>
      <w:r w:rsidR="00803C2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повышение</w:t>
      </w:r>
      <w:r w:rsidR="00803C29"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стоимости проезда согласились 12,5 процента, при значительном повышении комфортности – 4,2 процента, при частичном повышении комфортности поездки в самом транспортном средстве – 8,3 процента. </w:t>
      </w:r>
      <w:r w:rsidR="009126F8">
        <w:rPr>
          <w:rFonts w:ascii="Times New Roman" w:hAnsi="Times New Roman" w:cs="Times New Roman"/>
          <w:sz w:val="28"/>
          <w:szCs w:val="28"/>
        </w:rPr>
        <w:t>Еще 8,3 процента респондентов считают приемлемым снижение стоимости билета при снижении каче</w:t>
      </w:r>
      <w:r w:rsidR="00BB2D30">
        <w:rPr>
          <w:rFonts w:ascii="Times New Roman" w:hAnsi="Times New Roman" w:cs="Times New Roman"/>
          <w:sz w:val="28"/>
          <w:szCs w:val="28"/>
        </w:rPr>
        <w:t xml:space="preserve">ства транспортного обслуживания. Свой вариант ответа привели 4,2 процента опрошенных </w:t>
      </w:r>
      <w:r w:rsidR="006C0298">
        <w:rPr>
          <w:rFonts w:ascii="Times New Roman" w:hAnsi="Times New Roman" w:cs="Times New Roman"/>
          <w:sz w:val="28"/>
          <w:szCs w:val="28"/>
        </w:rPr>
        <w:t>(рисунок 12).</w:t>
      </w:r>
    </w:p>
    <w:p w:rsidR="00D55634" w:rsidRDefault="000A6938" w:rsidP="00D556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2BBF2D2" wp14:editId="6EF4012A">
            <wp:extent cx="5940425" cy="2933700"/>
            <wp:effectExtent l="0" t="0" r="317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A7843" w:rsidRPr="00F45853" w:rsidRDefault="00EA7843" w:rsidP="00EA7843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Рисунок 9 – Распределение ответов на вопрос: «</w:t>
      </w:r>
      <w:r w:rsidRPr="00EA7843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При каких условиях для Вас приемлемо изменение стоимости проезда?</w:t>
      </w:r>
      <w:r w:rsidRPr="00F45853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»</w:t>
      </w:r>
    </w:p>
    <w:p w:rsidR="00514BB0" w:rsidRPr="007B6984" w:rsidRDefault="00514BB0" w:rsidP="00514B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4BB0" w:rsidRPr="007B6984" w:rsidSect="00A75D8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581" w:rsidRDefault="00585581" w:rsidP="00A75D80">
      <w:pPr>
        <w:spacing w:after="0" w:line="240" w:lineRule="auto"/>
      </w:pPr>
      <w:r>
        <w:separator/>
      </w:r>
    </w:p>
  </w:endnote>
  <w:endnote w:type="continuationSeparator" w:id="0">
    <w:p w:rsidR="00585581" w:rsidRDefault="00585581" w:rsidP="00A7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38C" w:rsidRDefault="00D6338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38C" w:rsidRDefault="00D6338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38C" w:rsidRDefault="00D633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581" w:rsidRDefault="00585581" w:rsidP="00A75D80">
      <w:pPr>
        <w:spacing w:after="0" w:line="240" w:lineRule="auto"/>
      </w:pPr>
      <w:r>
        <w:separator/>
      </w:r>
    </w:p>
  </w:footnote>
  <w:footnote w:type="continuationSeparator" w:id="0">
    <w:p w:rsidR="00585581" w:rsidRDefault="00585581" w:rsidP="00A7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38C" w:rsidRDefault="00D633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599250207"/>
      <w:docPartObj>
        <w:docPartGallery w:val="Page Numbers (Top of Page)"/>
        <w:docPartUnique/>
      </w:docPartObj>
    </w:sdtPr>
    <w:sdtEndPr/>
    <w:sdtContent>
      <w:p w:rsidR="00A75D80" w:rsidRPr="00D6338C" w:rsidRDefault="00A75D8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6338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6338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6338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03C29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D6338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75D80" w:rsidRDefault="00A75D8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38C" w:rsidRDefault="00D633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B2"/>
    <w:rsid w:val="000022AC"/>
    <w:rsid w:val="00066849"/>
    <w:rsid w:val="0007127E"/>
    <w:rsid w:val="00076C01"/>
    <w:rsid w:val="000A00B3"/>
    <w:rsid w:val="000A4143"/>
    <w:rsid w:val="000A6938"/>
    <w:rsid w:val="000F5A42"/>
    <w:rsid w:val="001636DB"/>
    <w:rsid w:val="001B5D1E"/>
    <w:rsid w:val="001D657F"/>
    <w:rsid w:val="002077CD"/>
    <w:rsid w:val="00216652"/>
    <w:rsid w:val="00220AE6"/>
    <w:rsid w:val="00250E3B"/>
    <w:rsid w:val="002713CB"/>
    <w:rsid w:val="002816E9"/>
    <w:rsid w:val="002866B1"/>
    <w:rsid w:val="00294091"/>
    <w:rsid w:val="002D34BA"/>
    <w:rsid w:val="002E1F7C"/>
    <w:rsid w:val="00300CC8"/>
    <w:rsid w:val="003075AC"/>
    <w:rsid w:val="00367129"/>
    <w:rsid w:val="00376F13"/>
    <w:rsid w:val="003C27B4"/>
    <w:rsid w:val="003E2F2B"/>
    <w:rsid w:val="003E49B8"/>
    <w:rsid w:val="003F01E3"/>
    <w:rsid w:val="00402CE1"/>
    <w:rsid w:val="00410EC0"/>
    <w:rsid w:val="00435F87"/>
    <w:rsid w:val="00455095"/>
    <w:rsid w:val="0050519F"/>
    <w:rsid w:val="005146B7"/>
    <w:rsid w:val="00514BB0"/>
    <w:rsid w:val="005202E2"/>
    <w:rsid w:val="00522A38"/>
    <w:rsid w:val="005235C0"/>
    <w:rsid w:val="005310B0"/>
    <w:rsid w:val="00532E0D"/>
    <w:rsid w:val="00550B68"/>
    <w:rsid w:val="00554686"/>
    <w:rsid w:val="005724CB"/>
    <w:rsid w:val="00574EFC"/>
    <w:rsid w:val="00581CF2"/>
    <w:rsid w:val="00585581"/>
    <w:rsid w:val="005909AB"/>
    <w:rsid w:val="00594F1F"/>
    <w:rsid w:val="00596AC9"/>
    <w:rsid w:val="005A5F9E"/>
    <w:rsid w:val="005C6961"/>
    <w:rsid w:val="00632374"/>
    <w:rsid w:val="006861E4"/>
    <w:rsid w:val="00690C8C"/>
    <w:rsid w:val="00690D3E"/>
    <w:rsid w:val="006A5673"/>
    <w:rsid w:val="006A5A99"/>
    <w:rsid w:val="006C0298"/>
    <w:rsid w:val="0071790B"/>
    <w:rsid w:val="007349B8"/>
    <w:rsid w:val="007454F2"/>
    <w:rsid w:val="00746508"/>
    <w:rsid w:val="00751761"/>
    <w:rsid w:val="007570C3"/>
    <w:rsid w:val="00783E6D"/>
    <w:rsid w:val="00784F21"/>
    <w:rsid w:val="0078694E"/>
    <w:rsid w:val="007A6B17"/>
    <w:rsid w:val="007B6984"/>
    <w:rsid w:val="007D0198"/>
    <w:rsid w:val="007D6100"/>
    <w:rsid w:val="007E22F1"/>
    <w:rsid w:val="007F7A0B"/>
    <w:rsid w:val="00803C29"/>
    <w:rsid w:val="00811D80"/>
    <w:rsid w:val="0083659E"/>
    <w:rsid w:val="008366D6"/>
    <w:rsid w:val="00836773"/>
    <w:rsid w:val="00845331"/>
    <w:rsid w:val="00855544"/>
    <w:rsid w:val="008574F1"/>
    <w:rsid w:val="008608E0"/>
    <w:rsid w:val="008701B4"/>
    <w:rsid w:val="008A669D"/>
    <w:rsid w:val="008C0EF4"/>
    <w:rsid w:val="008E2517"/>
    <w:rsid w:val="009100B2"/>
    <w:rsid w:val="009126F8"/>
    <w:rsid w:val="00935137"/>
    <w:rsid w:val="009509C0"/>
    <w:rsid w:val="00957042"/>
    <w:rsid w:val="009834FD"/>
    <w:rsid w:val="00993562"/>
    <w:rsid w:val="009C39D3"/>
    <w:rsid w:val="009F01C5"/>
    <w:rsid w:val="009F7C62"/>
    <w:rsid w:val="00A10FFC"/>
    <w:rsid w:val="00A349E7"/>
    <w:rsid w:val="00A54994"/>
    <w:rsid w:val="00A72B08"/>
    <w:rsid w:val="00A75D80"/>
    <w:rsid w:val="00A87A4F"/>
    <w:rsid w:val="00AA37FF"/>
    <w:rsid w:val="00AB4AA5"/>
    <w:rsid w:val="00AC00E2"/>
    <w:rsid w:val="00AD3572"/>
    <w:rsid w:val="00B01AD8"/>
    <w:rsid w:val="00B04575"/>
    <w:rsid w:val="00B2653C"/>
    <w:rsid w:val="00B51C4F"/>
    <w:rsid w:val="00B85B34"/>
    <w:rsid w:val="00B85D25"/>
    <w:rsid w:val="00B871B1"/>
    <w:rsid w:val="00B87E83"/>
    <w:rsid w:val="00B92DA9"/>
    <w:rsid w:val="00BB2D30"/>
    <w:rsid w:val="00BC621C"/>
    <w:rsid w:val="00BD0FAD"/>
    <w:rsid w:val="00BE6805"/>
    <w:rsid w:val="00C33FF8"/>
    <w:rsid w:val="00C43CCD"/>
    <w:rsid w:val="00C606DC"/>
    <w:rsid w:val="00C80F23"/>
    <w:rsid w:val="00C845A7"/>
    <w:rsid w:val="00C900F6"/>
    <w:rsid w:val="00C92CC7"/>
    <w:rsid w:val="00CC0C51"/>
    <w:rsid w:val="00CD37F4"/>
    <w:rsid w:val="00CF4767"/>
    <w:rsid w:val="00D12B99"/>
    <w:rsid w:val="00D25603"/>
    <w:rsid w:val="00D30A47"/>
    <w:rsid w:val="00D55634"/>
    <w:rsid w:val="00D6338C"/>
    <w:rsid w:val="00D745F2"/>
    <w:rsid w:val="00D94444"/>
    <w:rsid w:val="00D94F97"/>
    <w:rsid w:val="00DA0EBC"/>
    <w:rsid w:val="00DA2989"/>
    <w:rsid w:val="00DA668A"/>
    <w:rsid w:val="00DB43F2"/>
    <w:rsid w:val="00DB579B"/>
    <w:rsid w:val="00DC4D58"/>
    <w:rsid w:val="00DC6529"/>
    <w:rsid w:val="00DD4052"/>
    <w:rsid w:val="00E03E1B"/>
    <w:rsid w:val="00E26E89"/>
    <w:rsid w:val="00E33D21"/>
    <w:rsid w:val="00E50BA4"/>
    <w:rsid w:val="00E532FA"/>
    <w:rsid w:val="00E85BD4"/>
    <w:rsid w:val="00EA21C4"/>
    <w:rsid w:val="00EA4759"/>
    <w:rsid w:val="00EA7843"/>
    <w:rsid w:val="00EC1D8C"/>
    <w:rsid w:val="00ED0459"/>
    <w:rsid w:val="00F213DD"/>
    <w:rsid w:val="00F33B2F"/>
    <w:rsid w:val="00F3772B"/>
    <w:rsid w:val="00F45853"/>
    <w:rsid w:val="00F45F1C"/>
    <w:rsid w:val="00F6131F"/>
    <w:rsid w:val="00F74BB4"/>
    <w:rsid w:val="00F84417"/>
    <w:rsid w:val="00F87E16"/>
    <w:rsid w:val="00FB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E0E8C-5D98-4E45-A8ED-C25F4154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5D80"/>
  </w:style>
  <w:style w:type="paragraph" w:styleId="a5">
    <w:name w:val="footer"/>
    <w:basedOn w:val="a"/>
    <w:link w:val="a6"/>
    <w:uiPriority w:val="99"/>
    <w:unhideWhenUsed/>
    <w:rsid w:val="00A75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5D80"/>
  </w:style>
  <w:style w:type="paragraph" w:styleId="a7">
    <w:name w:val="Balloon Text"/>
    <w:basedOn w:val="a"/>
    <w:link w:val="a8"/>
    <w:uiPriority w:val="99"/>
    <w:semiHidden/>
    <w:unhideWhenUsed/>
    <w:rsid w:val="00207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77CD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D94F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header" Target="header3.xml"/><Relationship Id="rId10" Type="http://schemas.openxmlformats.org/officeDocument/2006/relationships/chart" Target="charts/chart4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&#1054;&#1090;&#1074;&#1077;&#1090;&#109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&#1054;&#1090;&#1074;&#1077;&#1090;&#1099;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&#1054;&#1090;&#1074;&#1077;&#1090;&#1099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&#1054;&#1090;&#1074;&#1077;&#1090;&#1099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&#1054;&#1090;&#1074;&#1077;&#1090;&#1099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&#1054;&#1090;&#1074;&#1077;&#1090;&#1099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&#1054;&#1090;&#1074;&#1077;&#1090;&#1099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&#1054;&#1090;&#1074;&#1077;&#1090;&#1099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&#1054;&#1090;&#1074;&#1077;&#1090;&#1099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&#1054;&#1090;&#1074;&#1077;&#1090;&#1099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&#1054;&#1090;&#1074;&#1077;&#1090;&#1099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&#1054;&#1090;&#1074;&#1077;&#1090;&#1099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Лист2!$A$2:$A$5</c:f>
              <c:strCache>
                <c:ptCount val="4"/>
                <c:pt idx="0">
                  <c:v>Ежедневно</c:v>
                </c:pt>
                <c:pt idx="1">
                  <c:v>Несколько раз в неделю</c:v>
                </c:pt>
                <c:pt idx="2">
                  <c:v>Несколько раз в месяц</c:v>
                </c:pt>
                <c:pt idx="3">
                  <c:v>Не пользуюсь</c:v>
                </c:pt>
              </c:strCache>
            </c:strRef>
          </c:cat>
          <c:val>
            <c:numRef>
              <c:f>Лист2!$B$2:$B$5</c:f>
              <c:numCache>
                <c:formatCode>0.0</c:formatCode>
                <c:ptCount val="4"/>
                <c:pt idx="0">
                  <c:v>58.333333333333336</c:v>
                </c:pt>
                <c:pt idx="1">
                  <c:v>20.833333333333336</c:v>
                </c:pt>
                <c:pt idx="2">
                  <c:v>20.833333333333336</c:v>
                </c:pt>
                <c:pt idx="3">
                  <c:v>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29037992"/>
        <c:axId val="529038384"/>
      </c:barChart>
      <c:catAx>
        <c:axId val="529037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9038384"/>
        <c:crosses val="autoZero"/>
        <c:auto val="1"/>
        <c:lblAlgn val="ctr"/>
        <c:lblOffset val="100"/>
        <c:noMultiLvlLbl val="0"/>
      </c:catAx>
      <c:valAx>
        <c:axId val="529038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процентов</a:t>
                </a:r>
              </a:p>
            </c:rich>
          </c:tx>
          <c:layout>
            <c:manualLayout>
              <c:xMode val="edge"/>
              <c:yMode val="edge"/>
              <c:x val="1.3620015240030481E-2"/>
              <c:y val="0.3273421551472732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9037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456966316710409"/>
          <c:y val="4.437445319335083E-2"/>
          <c:w val="0.47848005978419367"/>
          <c:h val="0.89891361405911219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Лист2!$A$72:$A$83</c:f>
              <c:strCache>
                <c:ptCount val="12"/>
                <c:pt idx="0">
                  <c:v>Уровень шума в салоне транспортных средств</c:v>
                </c:pt>
                <c:pt idx="1">
                  <c:v>Экологический класс автобусов, осуществляющих перевозки по городским маршрутам</c:v>
                </c:pt>
                <c:pt idx="2">
                  <c:v>Расстояние до остановочных пунктов общественного транспорта</c:v>
                </c:pt>
                <c:pt idx="3">
                  <c:v>Соблюдение норм вместимости, количество человек на 1 кв. м пола салона транспортного средства</c:v>
                </c:pt>
                <c:pt idx="4">
                  <c:v>Оснащенность автобусов, троллейбусов и трамваев средствами звукового информирования пассажиров (объявление остановок, сведения о перевозчике и стоимости проезда)</c:v>
                </c:pt>
                <c:pt idx="5">
                  <c:v>Время начала и окончания работы маршрута</c:v>
                </c:pt>
                <c:pt idx="6">
                  <c:v>Оснащенность остановок средствами зрительного информирования (наличие расписания движения, времени ожидания следующего транспортного средства)</c:v>
                </c:pt>
                <c:pt idx="7">
                  <c:v>Количество пересадок при перемещении до пункта назначения</c:v>
                </c:pt>
                <c:pt idx="8">
                  <c:v>Доступность остановок и транспортных средств для маломобильных групп населения (инвалидов, беременных женщин, пожилых и временно нетрудоспособных)</c:v>
                </c:pt>
                <c:pt idx="9">
                  <c:v>Ценовая доступность поездок на общественном транспорте</c:v>
                </c:pt>
                <c:pt idx="10">
                  <c:v>Время ожидания транспортного средства, следующего по маршруту</c:v>
                </c:pt>
                <c:pt idx="11">
                  <c:v>Соблюдение расписания движения общественного транспорта</c:v>
                </c:pt>
              </c:strCache>
            </c:strRef>
          </c:cat>
          <c:val>
            <c:numRef>
              <c:f>Лист2!$B$72:$B$83</c:f>
              <c:numCache>
                <c:formatCode>0.0</c:formatCode>
                <c:ptCount val="12"/>
                <c:pt idx="0">
                  <c:v>7.041666666666667</c:v>
                </c:pt>
                <c:pt idx="1">
                  <c:v>7.458333333333333</c:v>
                </c:pt>
                <c:pt idx="2">
                  <c:v>7.708333333333333</c:v>
                </c:pt>
                <c:pt idx="3">
                  <c:v>8</c:v>
                </c:pt>
                <c:pt idx="4">
                  <c:v>8.0416666666666661</c:v>
                </c:pt>
                <c:pt idx="5">
                  <c:v>8.125</c:v>
                </c:pt>
                <c:pt idx="6">
                  <c:v>8.375</c:v>
                </c:pt>
                <c:pt idx="7">
                  <c:v>8.4166666666666661</c:v>
                </c:pt>
                <c:pt idx="8">
                  <c:v>8.625</c:v>
                </c:pt>
                <c:pt idx="9">
                  <c:v>8.8333333333333339</c:v>
                </c:pt>
                <c:pt idx="10">
                  <c:v>9.0833333333333339</c:v>
                </c:pt>
                <c:pt idx="11">
                  <c:v>9.125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27245448"/>
        <c:axId val="527245056"/>
      </c:barChart>
      <c:catAx>
        <c:axId val="5272454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7245056"/>
        <c:crosses val="autoZero"/>
        <c:auto val="1"/>
        <c:lblAlgn val="ctr"/>
        <c:lblOffset val="100"/>
        <c:noMultiLvlLbl val="0"/>
      </c:catAx>
      <c:valAx>
        <c:axId val="5272450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баллов</a:t>
                </a:r>
              </a:p>
            </c:rich>
          </c:tx>
          <c:layout>
            <c:manualLayout>
              <c:xMode val="edge"/>
              <c:yMode val="edge"/>
              <c:x val="0.89928423009623792"/>
              <c:y val="1.1805386522624911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7245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742804024496936"/>
          <c:y val="0.11825570048345165"/>
          <c:w val="0.68823162729658793"/>
          <c:h val="0.71971443576201366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[Ответы.xlsx]Лист2!$A$59:$A$61</c:f>
              <c:strCache>
                <c:ptCount val="3"/>
                <c:pt idx="0">
                  <c:v>Свой вариант ответа</c:v>
                </c:pt>
                <c:pt idx="1">
                  <c:v>Нет</c:v>
                </c:pt>
                <c:pt idx="2">
                  <c:v>Да</c:v>
                </c:pt>
              </c:strCache>
            </c:strRef>
          </c:cat>
          <c:val>
            <c:numRef>
              <c:f>[Ответы.xlsx]Лист2!$B$59:$B$61</c:f>
              <c:numCache>
                <c:formatCode>0.0</c:formatCode>
                <c:ptCount val="3"/>
                <c:pt idx="0">
                  <c:v>4.1666666666666661</c:v>
                </c:pt>
                <c:pt idx="1">
                  <c:v>29.166666666666668</c:v>
                </c:pt>
                <c:pt idx="2">
                  <c:v>66.666666666666657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27244272"/>
        <c:axId val="527477480"/>
      </c:barChart>
      <c:catAx>
        <c:axId val="5272442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7477480"/>
        <c:crosses val="autoZero"/>
        <c:auto val="1"/>
        <c:lblAlgn val="ctr"/>
        <c:lblOffset val="100"/>
        <c:noMultiLvlLbl val="0"/>
      </c:catAx>
      <c:valAx>
        <c:axId val="5274774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процентов</a:t>
                </a:r>
              </a:p>
            </c:rich>
          </c:tx>
          <c:layout>
            <c:manualLayout>
              <c:xMode val="edge"/>
              <c:yMode val="edge"/>
              <c:x val="0.87665078272982855"/>
              <c:y val="2.909101915187863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7244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802164828274069"/>
          <c:y val="6.482903430174676E-2"/>
          <c:w val="0.47168970545348499"/>
          <c:h val="0.8578760533679540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Лист2!$A$64:$A$69</c:f>
              <c:strCache>
                <c:ptCount val="6"/>
                <c:pt idx="0">
                  <c:v>Увеличение стоимости билета на 20-25 рублей (до 45-50) при значительном повышении комфортности пользования общественным транспортом </c:v>
                </c:pt>
                <c:pt idx="1">
                  <c:v>Свой вариант ответа</c:v>
                </c:pt>
                <c:pt idx="2">
                  <c:v>Увеличение стоимости билета на 5-10 (до 30-35) рублей при частичном повышении комфортности поездки в самом транспортном средстве </c:v>
                </c:pt>
                <c:pt idx="3">
                  <c:v>Снижение стоимости билета при снижении качества транспортного обслуживания </c:v>
                </c:pt>
                <c:pt idx="4">
                  <c:v>Увеличение стоимости билета на 10-15 рублей (до 35-40) при повышении комфортности пользования общественным транспортом </c:v>
                </c:pt>
                <c:pt idx="5">
                  <c:v>Увеличение стоимости билета ни при каких условиях неприемлемо</c:v>
                </c:pt>
              </c:strCache>
            </c:strRef>
          </c:cat>
          <c:val>
            <c:numRef>
              <c:f>Лист2!$B$64:$B$69</c:f>
              <c:numCache>
                <c:formatCode>0.0</c:formatCode>
                <c:ptCount val="6"/>
                <c:pt idx="0">
                  <c:v>4.1666666666666661</c:v>
                </c:pt>
                <c:pt idx="1">
                  <c:v>4.1666666666666661</c:v>
                </c:pt>
                <c:pt idx="2">
                  <c:v>8.3333333333333321</c:v>
                </c:pt>
                <c:pt idx="3">
                  <c:v>8.3333333333333321</c:v>
                </c:pt>
                <c:pt idx="4">
                  <c:v>12.5</c:v>
                </c:pt>
                <c:pt idx="5">
                  <c:v>62.5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27476696"/>
        <c:axId val="524142456"/>
      </c:barChart>
      <c:catAx>
        <c:axId val="5274766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4142456"/>
        <c:crosses val="autoZero"/>
        <c:auto val="1"/>
        <c:lblAlgn val="ctr"/>
        <c:lblOffset val="100"/>
        <c:noMultiLvlLbl val="0"/>
      </c:catAx>
      <c:valAx>
        <c:axId val="5241424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процентов</a:t>
                </a:r>
              </a:p>
            </c:rich>
          </c:tx>
          <c:layout>
            <c:manualLayout>
              <c:xMode val="edge"/>
              <c:yMode val="edge"/>
              <c:x val="0.86645136024663583"/>
              <c:y val="1.3880676315343921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7476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6117810152957927E-2"/>
          <c:y val="8.7600941074075581E-2"/>
          <c:w val="0.88573539418683755"/>
          <c:h val="0.6322913521820134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5"/>
              </a:solidFill>
              <a:ln w="25400">
                <a:solidFill>
                  <a:schemeClr val="accent5"/>
                </a:solidFill>
              </a:ln>
              <a:effectLst/>
              <a:sp3d contourW="25400">
                <a:contourClr>
                  <a:schemeClr val="accent5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accent2"/>
                </a:solidFill>
              </a:ln>
              <a:effectLst/>
              <a:sp3d contourW="25400">
                <a:contourClr>
                  <a:schemeClr val="accent2"/>
                </a:contourClr>
              </a:sp3d>
            </c:spPr>
          </c:dPt>
          <c:dPt>
            <c:idx val="2"/>
            <c:bubble3D val="0"/>
            <c:spPr>
              <a:solidFill>
                <a:schemeClr val="accent6"/>
              </a:solidFill>
              <a:ln w="25400">
                <a:solidFill>
                  <a:schemeClr val="accent6"/>
                </a:solidFill>
              </a:ln>
              <a:effectLst/>
              <a:sp3d contourW="25400">
                <a:contourClr>
                  <a:schemeClr val="accent6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accent4"/>
                </a:solidFill>
              </a:ln>
              <a:effectLst/>
              <a:sp3d contourW="25400">
                <a:contourClr>
                  <a:schemeClr val="accent4"/>
                </a:contourClr>
              </a:sp3d>
            </c:spPr>
          </c:dPt>
          <c:dLbls>
            <c:dLbl>
              <c:idx val="0"/>
              <c:layout>
                <c:manualLayout>
                  <c:x val="7.6025809273840769E-3"/>
                  <c:y val="-0.317435080413876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6049868766403945E-3"/>
                  <c:y val="-3.14872097614028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5055555555555557E-2"/>
                  <c:y val="-8.953027345932376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2521216097987704E-2"/>
                  <c:y val="-7.6833615160567031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Лист2!$A$8:$A$11</c:f>
              <c:strCache>
                <c:ptCount val="4"/>
                <c:pt idx="0">
                  <c:v>Автобус</c:v>
                </c:pt>
                <c:pt idx="1">
                  <c:v>Троллейбус</c:v>
                </c:pt>
                <c:pt idx="2">
                  <c:v>Трамвай</c:v>
                </c:pt>
                <c:pt idx="3">
                  <c:v>Метро</c:v>
                </c:pt>
              </c:strCache>
            </c:strRef>
          </c:cat>
          <c:val>
            <c:numRef>
              <c:f>Лист2!$B$8:$B$11</c:f>
              <c:numCache>
                <c:formatCode>0.0</c:formatCode>
                <c:ptCount val="4"/>
                <c:pt idx="0">
                  <c:v>95.833333333333343</c:v>
                </c:pt>
                <c:pt idx="1">
                  <c:v>4.1666666666666661</c:v>
                </c:pt>
                <c:pt idx="2">
                  <c:v>29.166666666666668</c:v>
                </c:pt>
                <c:pt idx="3">
                  <c:v>12.5</c:v>
                </c:pt>
              </c:numCache>
            </c:numRef>
          </c:val>
        </c:ser>
        <c:dLbls>
          <c:dLblPos val="bestFit"/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247944006999127E-2"/>
          <c:y val="0.87071486036515866"/>
          <c:w val="0.84559667541557315"/>
          <c:h val="9.38084294898058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Лист2!$A$14:$A$16</c:f>
              <c:strCache>
                <c:ptCount val="3"/>
                <c:pt idx="0">
                  <c:v>6-10 минут пешком</c:v>
                </c:pt>
                <c:pt idx="1">
                  <c:v>11-20 минут пешком</c:v>
                </c:pt>
                <c:pt idx="2">
                  <c:v>21-30 минут пешком</c:v>
                </c:pt>
              </c:strCache>
            </c:strRef>
          </c:cat>
          <c:val>
            <c:numRef>
              <c:f>Лист2!$B$14:$B$16</c:f>
              <c:numCache>
                <c:formatCode>0.0</c:formatCode>
                <c:ptCount val="3"/>
                <c:pt idx="0">
                  <c:v>37.5</c:v>
                </c:pt>
                <c:pt idx="1">
                  <c:v>33.333333333333329</c:v>
                </c:pt>
                <c:pt idx="2">
                  <c:v>20.833333333333336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29039168"/>
        <c:axId val="529041128"/>
      </c:barChart>
      <c:catAx>
        <c:axId val="529039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9041128"/>
        <c:crosses val="autoZero"/>
        <c:auto val="1"/>
        <c:lblAlgn val="ctr"/>
        <c:lblOffset val="100"/>
        <c:noMultiLvlLbl val="0"/>
      </c:catAx>
      <c:valAx>
        <c:axId val="529041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процентов</a:t>
                </a:r>
              </a:p>
            </c:rich>
          </c:tx>
          <c:layout>
            <c:manualLayout>
              <c:xMode val="edge"/>
              <c:yMode val="edge"/>
              <c:x val="1.2368583797155226E-2"/>
              <c:y val="0.2199168267249765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9039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Лист2!$A$20:$A$23</c:f>
              <c:strCache>
                <c:ptCount val="4"/>
                <c:pt idx="0">
                  <c:v>5 минут и менее</c:v>
                </c:pt>
                <c:pt idx="1">
                  <c:v>6-10 минут</c:v>
                </c:pt>
                <c:pt idx="2">
                  <c:v>11-15 минут</c:v>
                </c:pt>
                <c:pt idx="3">
                  <c:v>15 минут и более</c:v>
                </c:pt>
              </c:strCache>
            </c:strRef>
          </c:cat>
          <c:val>
            <c:numRef>
              <c:f>Лист2!$B$20:$B$23</c:f>
              <c:numCache>
                <c:formatCode>0.0</c:formatCode>
                <c:ptCount val="4"/>
                <c:pt idx="0">
                  <c:v>20.833333333333336</c:v>
                </c:pt>
                <c:pt idx="1">
                  <c:v>41.666666666666671</c:v>
                </c:pt>
                <c:pt idx="2">
                  <c:v>20.833333333333336</c:v>
                </c:pt>
                <c:pt idx="3">
                  <c:v>16.666666666666664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35984728"/>
        <c:axId val="535979632"/>
      </c:barChart>
      <c:catAx>
        <c:axId val="535984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35979632"/>
        <c:crosses val="autoZero"/>
        <c:auto val="1"/>
        <c:lblAlgn val="ctr"/>
        <c:lblOffset val="100"/>
        <c:noMultiLvlLbl val="0"/>
      </c:catAx>
      <c:valAx>
        <c:axId val="535979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процентов</a:t>
                </a:r>
              </a:p>
            </c:rich>
          </c:tx>
          <c:layout>
            <c:manualLayout>
              <c:xMode val="edge"/>
              <c:yMode val="edge"/>
              <c:x val="1.2368583797155226E-2"/>
              <c:y val="0.2199168267249765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35984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Лист2!$A$42:$A$44</c:f>
              <c:strCache>
                <c:ptCount val="3"/>
                <c:pt idx="0">
                  <c:v>Без пересадок</c:v>
                </c:pt>
                <c:pt idx="1">
                  <c:v>Одну пересадку</c:v>
                </c:pt>
                <c:pt idx="2">
                  <c:v>Две пересадки</c:v>
                </c:pt>
              </c:strCache>
            </c:strRef>
          </c:cat>
          <c:val>
            <c:numRef>
              <c:f>Лист2!$B$42:$B$44</c:f>
              <c:numCache>
                <c:formatCode>0.0</c:formatCode>
                <c:ptCount val="3"/>
                <c:pt idx="0">
                  <c:v>41.666666666666671</c:v>
                </c:pt>
                <c:pt idx="1">
                  <c:v>54.166666666666664</c:v>
                </c:pt>
                <c:pt idx="2">
                  <c:v>4.1666666666666661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35978848"/>
        <c:axId val="535978456"/>
      </c:barChart>
      <c:catAx>
        <c:axId val="535978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35978456"/>
        <c:crosses val="autoZero"/>
        <c:auto val="1"/>
        <c:lblAlgn val="ctr"/>
        <c:lblOffset val="100"/>
        <c:noMultiLvlLbl val="0"/>
      </c:catAx>
      <c:valAx>
        <c:axId val="535978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процентов</a:t>
                </a:r>
              </a:p>
            </c:rich>
          </c:tx>
          <c:layout>
            <c:manualLayout>
              <c:xMode val="edge"/>
              <c:yMode val="edge"/>
              <c:x val="1.9444444444444445E-2"/>
              <c:y val="0.3315699549522664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359788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Лист2!$A$48:$A$51</c:f>
              <c:strCache>
                <c:ptCount val="4"/>
                <c:pt idx="0">
                  <c:v>Менее 10 минут</c:v>
                </c:pt>
                <c:pt idx="1">
                  <c:v>10-20 минут</c:v>
                </c:pt>
                <c:pt idx="2">
                  <c:v>30-40 минут</c:v>
                </c:pt>
                <c:pt idx="3">
                  <c:v>Свыше 40 минут</c:v>
                </c:pt>
              </c:strCache>
            </c:strRef>
          </c:cat>
          <c:val>
            <c:numRef>
              <c:f>Лист2!$B$48:$B$51</c:f>
              <c:numCache>
                <c:formatCode>0.0</c:formatCode>
                <c:ptCount val="4"/>
                <c:pt idx="0">
                  <c:v>4.1666666666666661</c:v>
                </c:pt>
                <c:pt idx="1">
                  <c:v>20.833333333333336</c:v>
                </c:pt>
                <c:pt idx="2">
                  <c:v>20.833333333333336</c:v>
                </c:pt>
                <c:pt idx="3">
                  <c:v>33.333333333333329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35985512"/>
        <c:axId val="535985120"/>
      </c:barChart>
      <c:catAx>
        <c:axId val="535985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35985120"/>
        <c:crosses val="autoZero"/>
        <c:auto val="1"/>
        <c:lblAlgn val="ctr"/>
        <c:lblOffset val="100"/>
        <c:noMultiLvlLbl val="0"/>
      </c:catAx>
      <c:valAx>
        <c:axId val="535985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процентов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35985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/>
              <a:t>процентов</a:t>
            </a:r>
          </a:p>
        </c:rich>
      </c:tx>
      <c:layout>
        <c:manualLayout>
          <c:xMode val="edge"/>
          <c:yMode val="edge"/>
          <c:x val="0.87383116883116885"/>
          <c:y val="5.38720538720538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6828919112383686E-2"/>
          <c:y val="0.12745884037222621"/>
          <c:w val="0.91369056140709681"/>
          <c:h val="0.6194453723587581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 w="25400">
                <a:solidFill>
                  <a:schemeClr val="accent6"/>
                </a:solidFill>
              </a:ln>
              <a:effectLst/>
              <a:sp3d contourW="25400">
                <a:contourClr>
                  <a:schemeClr val="accent6"/>
                </a:contourClr>
              </a:sp3d>
            </c:spPr>
          </c:dPt>
          <c:dPt>
            <c:idx val="1"/>
            <c:bubble3D val="0"/>
            <c:spPr>
              <a:solidFill>
                <a:schemeClr val="accent5"/>
              </a:solidFill>
              <a:ln w="25400">
                <a:solidFill>
                  <a:schemeClr val="accent5"/>
                </a:solidFill>
              </a:ln>
              <a:effectLst/>
              <a:sp3d contourW="25400">
                <a:contourClr>
                  <a:schemeClr val="accent5"/>
                </a:contourClr>
              </a:sp3d>
            </c:spPr>
          </c:dPt>
          <c:dLbls>
            <c:dLbl>
              <c:idx val="0"/>
              <c:layout>
                <c:manualLayout>
                  <c:x val="-6.2876968503937009E-2"/>
                  <c:y val="-5.266177912730438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3665244969378828E-2"/>
                  <c:y val="-0.22052429825993061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Лист2!$A$55:$A$56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Лист2!$B$55:$B$56</c:f>
              <c:numCache>
                <c:formatCode>0.0</c:formatCode>
                <c:ptCount val="2"/>
                <c:pt idx="0">
                  <c:v>25</c:v>
                </c:pt>
                <c:pt idx="1">
                  <c:v>75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314195100612416"/>
          <c:y val="0.86414186927102643"/>
          <c:w val="0.36149365704286962"/>
          <c:h val="0.100223395185943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551159230096238"/>
          <c:y val="5.0925925925925923E-2"/>
          <c:w val="0.81181474190726155"/>
          <c:h val="0.73657521368206669"/>
        </c:manualLayout>
      </c:layout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strRef>
              <c:f>Лист2!$A$26:$A$30</c:f>
              <c:strCache>
                <c:ptCount val="5"/>
                <c:pt idx="0">
                  <c:v>5 баллов</c:v>
                </c:pt>
                <c:pt idx="1">
                  <c:v>4 балла</c:v>
                </c:pt>
                <c:pt idx="2">
                  <c:v>3 балла</c:v>
                </c:pt>
                <c:pt idx="3">
                  <c:v>2 балла</c:v>
                </c:pt>
                <c:pt idx="4">
                  <c:v>1 балл</c:v>
                </c:pt>
              </c:strCache>
            </c:strRef>
          </c:xVal>
          <c:yVal>
            <c:numRef>
              <c:f>Лист2!$B$26:$B$30</c:f>
              <c:numCache>
                <c:formatCode>0.0</c:formatCode>
                <c:ptCount val="5"/>
                <c:pt idx="0">
                  <c:v>4.1666666666666661</c:v>
                </c:pt>
                <c:pt idx="1">
                  <c:v>29.166666666666668</c:v>
                </c:pt>
                <c:pt idx="2">
                  <c:v>58.333333333333336</c:v>
                </c:pt>
                <c:pt idx="3">
                  <c:v>8.3333333333333321</c:v>
                </c:pt>
                <c:pt idx="4">
                  <c:v>0</c:v>
                </c:pt>
              </c:numCache>
            </c:numRef>
          </c:y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526253208"/>
        <c:axId val="526252816"/>
      </c:scatterChart>
      <c:valAx>
        <c:axId val="5262532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200"/>
                  <a:t>баллов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6252816"/>
        <c:crosses val="autoZero"/>
        <c:crossBetween val="midCat"/>
      </c:valAx>
      <c:valAx>
        <c:axId val="526252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процентов</a:t>
                </a:r>
              </a:p>
            </c:rich>
          </c:tx>
          <c:layout>
            <c:manualLayout>
              <c:xMode val="edge"/>
              <c:yMode val="edge"/>
              <c:x val="1.6800962379702532E-2"/>
              <c:y val="0.2287530669189692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625320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4545603674540679"/>
          <c:y val="7.8703703703703706E-2"/>
          <c:w val="0.50187029746281719"/>
          <c:h val="0.8314661708953047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Лист2!$A$34:$A$39</c:f>
              <c:strCache>
                <c:ptCount val="6"/>
                <c:pt idx="0">
                  <c:v>Неудобное время работы</c:v>
                </c:pt>
                <c:pt idx="1">
                  <c:v>Низкая скорость</c:v>
                </c:pt>
                <c:pt idx="2">
                  <c:v>Неудобные маршруты</c:v>
                </c:pt>
                <c:pt idx="3">
                  <c:v>Низкий уровень комфорта</c:v>
                </c:pt>
                <c:pt idx="4">
                  <c:v>Высокая стоимость проезда</c:v>
                </c:pt>
                <c:pt idx="5">
                  <c:v>Несоблюдение расписания движения</c:v>
                </c:pt>
              </c:strCache>
            </c:strRef>
          </c:cat>
          <c:val>
            <c:numRef>
              <c:f>Лист2!$B$34:$B$39</c:f>
              <c:numCache>
                <c:formatCode>0.0</c:formatCode>
                <c:ptCount val="6"/>
                <c:pt idx="0">
                  <c:v>8.3333333333333321</c:v>
                </c:pt>
                <c:pt idx="1">
                  <c:v>16.666666666666664</c:v>
                </c:pt>
                <c:pt idx="2">
                  <c:v>25</c:v>
                </c:pt>
                <c:pt idx="3">
                  <c:v>37.5</c:v>
                </c:pt>
                <c:pt idx="4">
                  <c:v>41.666666666666671</c:v>
                </c:pt>
                <c:pt idx="5">
                  <c:v>66.666666666666657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26251640"/>
        <c:axId val="526248896"/>
      </c:barChart>
      <c:catAx>
        <c:axId val="5262516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6248896"/>
        <c:crosses val="autoZero"/>
        <c:auto val="1"/>
        <c:lblAlgn val="ctr"/>
        <c:lblOffset val="100"/>
        <c:noMultiLvlLbl val="0"/>
      </c:catAx>
      <c:valAx>
        <c:axId val="5262488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процентов</a:t>
                </a:r>
              </a:p>
            </c:rich>
          </c:tx>
          <c:layout>
            <c:manualLayout>
              <c:xMode val="edge"/>
              <c:yMode val="edge"/>
              <c:x val="0.82732874015748037"/>
              <c:y val="1.756926217556138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6251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C116D-27CA-40EB-913B-D9B9F0F2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7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Фарида Назиповна</dc:creator>
  <cp:keywords/>
  <dc:description/>
  <cp:lastModifiedBy>Степанова Фарида Назиповна</cp:lastModifiedBy>
  <cp:revision>65</cp:revision>
  <cp:lastPrinted>2017-10-02T12:41:00Z</cp:lastPrinted>
  <dcterms:created xsi:type="dcterms:W3CDTF">2017-09-29T10:15:00Z</dcterms:created>
  <dcterms:modified xsi:type="dcterms:W3CDTF">2017-10-02T13:30:00Z</dcterms:modified>
</cp:coreProperties>
</file>