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0B2" w:rsidRDefault="009100B2" w:rsidP="009100B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0B2">
        <w:rPr>
          <w:rFonts w:ascii="Times New Roman" w:hAnsi="Times New Roman" w:cs="Times New Roman"/>
          <w:b/>
          <w:sz w:val="28"/>
          <w:szCs w:val="28"/>
        </w:rPr>
        <w:t>Анализ результатов опроса</w:t>
      </w:r>
    </w:p>
    <w:p w:rsidR="00B871B1" w:rsidRPr="009100B2" w:rsidRDefault="009100B2" w:rsidP="009100B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0B2">
        <w:rPr>
          <w:rFonts w:ascii="Times New Roman" w:hAnsi="Times New Roman" w:cs="Times New Roman"/>
          <w:b/>
          <w:sz w:val="28"/>
          <w:szCs w:val="28"/>
        </w:rPr>
        <w:t>посетителей сайта ГБУ «ЦЭСИ РТ»</w:t>
      </w:r>
    </w:p>
    <w:p w:rsidR="009100B2" w:rsidRPr="009100B2" w:rsidRDefault="009100B2" w:rsidP="009100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C62" w:rsidRDefault="009100B2" w:rsidP="00717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0B2">
        <w:rPr>
          <w:rFonts w:ascii="Times New Roman" w:hAnsi="Times New Roman" w:cs="Times New Roman"/>
          <w:sz w:val="28"/>
          <w:szCs w:val="28"/>
        </w:rPr>
        <w:t>В период с</w:t>
      </w:r>
      <w:r w:rsidR="00F96458">
        <w:rPr>
          <w:rFonts w:ascii="Times New Roman" w:hAnsi="Times New Roman" w:cs="Times New Roman"/>
          <w:sz w:val="28"/>
          <w:szCs w:val="28"/>
        </w:rPr>
        <w:t xml:space="preserve"> 22 января по 28 мая</w:t>
      </w:r>
      <w:r w:rsidR="00DB43F2">
        <w:rPr>
          <w:rFonts w:ascii="Times New Roman" w:hAnsi="Times New Roman" w:cs="Times New Roman"/>
          <w:sz w:val="28"/>
          <w:szCs w:val="28"/>
        </w:rPr>
        <w:t xml:space="preserve"> </w:t>
      </w:r>
      <w:r w:rsidRPr="009100B2">
        <w:rPr>
          <w:rFonts w:ascii="Times New Roman" w:hAnsi="Times New Roman" w:cs="Times New Roman"/>
          <w:sz w:val="28"/>
          <w:szCs w:val="28"/>
        </w:rPr>
        <w:t>201</w:t>
      </w:r>
      <w:r w:rsidR="002B70A0">
        <w:rPr>
          <w:rFonts w:ascii="Times New Roman" w:hAnsi="Times New Roman" w:cs="Times New Roman"/>
          <w:sz w:val="28"/>
          <w:szCs w:val="28"/>
        </w:rPr>
        <w:t>9</w:t>
      </w:r>
      <w:r w:rsidRPr="009100B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96458">
        <w:rPr>
          <w:rFonts w:ascii="Times New Roman" w:hAnsi="Times New Roman" w:cs="Times New Roman"/>
          <w:sz w:val="28"/>
          <w:szCs w:val="28"/>
        </w:rPr>
        <w:t>в связи с началом реализации пилотного проекта по применени</w:t>
      </w:r>
      <w:r w:rsidR="00D85EF3">
        <w:rPr>
          <w:rFonts w:ascii="Times New Roman" w:hAnsi="Times New Roman" w:cs="Times New Roman"/>
          <w:sz w:val="28"/>
          <w:szCs w:val="28"/>
        </w:rPr>
        <w:t>ю налогового реж</w:t>
      </w:r>
      <w:r w:rsidR="008C5A5F">
        <w:rPr>
          <w:rFonts w:ascii="Times New Roman" w:hAnsi="Times New Roman" w:cs="Times New Roman"/>
          <w:sz w:val="28"/>
          <w:szCs w:val="28"/>
        </w:rPr>
        <w:t>и</w:t>
      </w:r>
      <w:r w:rsidR="00523538">
        <w:rPr>
          <w:rFonts w:ascii="Times New Roman" w:hAnsi="Times New Roman" w:cs="Times New Roman"/>
          <w:sz w:val="28"/>
          <w:szCs w:val="28"/>
        </w:rPr>
        <w:t xml:space="preserve">ма для </w:t>
      </w:r>
      <w:proofErr w:type="spellStart"/>
      <w:r w:rsidR="00D85EF3">
        <w:rPr>
          <w:rFonts w:ascii="Times New Roman" w:hAnsi="Times New Roman" w:cs="Times New Roman"/>
          <w:sz w:val="28"/>
          <w:szCs w:val="28"/>
        </w:rPr>
        <w:t>самозанят</w:t>
      </w:r>
      <w:r w:rsidR="00523538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D85EF3">
        <w:rPr>
          <w:rFonts w:ascii="Times New Roman" w:hAnsi="Times New Roman" w:cs="Times New Roman"/>
          <w:sz w:val="28"/>
          <w:szCs w:val="28"/>
        </w:rPr>
        <w:t xml:space="preserve"> в Республике Татарстан</w:t>
      </w:r>
      <w:r w:rsidR="00F96458">
        <w:rPr>
          <w:rFonts w:ascii="Times New Roman" w:hAnsi="Times New Roman" w:cs="Times New Roman"/>
          <w:sz w:val="28"/>
          <w:szCs w:val="28"/>
        </w:rPr>
        <w:t xml:space="preserve"> </w:t>
      </w:r>
      <w:r w:rsidRPr="009100B2">
        <w:rPr>
          <w:rFonts w:ascii="Times New Roman" w:hAnsi="Times New Roman" w:cs="Times New Roman"/>
          <w:sz w:val="28"/>
          <w:szCs w:val="28"/>
        </w:rPr>
        <w:t xml:space="preserve">посетителям </w:t>
      </w:r>
      <w:r w:rsidR="007B6984">
        <w:rPr>
          <w:rFonts w:ascii="Times New Roman" w:hAnsi="Times New Roman" w:cs="Times New Roman"/>
          <w:sz w:val="28"/>
          <w:szCs w:val="28"/>
        </w:rPr>
        <w:t xml:space="preserve">сайта </w:t>
      </w:r>
      <w:r w:rsidRPr="009100B2">
        <w:rPr>
          <w:rFonts w:ascii="Times New Roman" w:hAnsi="Times New Roman" w:cs="Times New Roman"/>
          <w:sz w:val="28"/>
          <w:szCs w:val="28"/>
        </w:rPr>
        <w:t>предлагалось ответить на вопрос</w:t>
      </w:r>
      <w:r w:rsidR="007D6100">
        <w:rPr>
          <w:rFonts w:ascii="Times New Roman" w:hAnsi="Times New Roman" w:cs="Times New Roman"/>
          <w:sz w:val="28"/>
          <w:szCs w:val="28"/>
        </w:rPr>
        <w:t>ы</w:t>
      </w:r>
      <w:r w:rsidR="00D94F97">
        <w:rPr>
          <w:rFonts w:ascii="Times New Roman" w:hAnsi="Times New Roman" w:cs="Times New Roman"/>
          <w:sz w:val="28"/>
          <w:szCs w:val="28"/>
        </w:rPr>
        <w:t xml:space="preserve"> </w:t>
      </w:r>
      <w:r w:rsidR="004232CA" w:rsidRPr="0046423A">
        <w:rPr>
          <w:rFonts w:ascii="Times New Roman" w:hAnsi="Times New Roman" w:cs="Times New Roman"/>
          <w:sz w:val="28"/>
          <w:szCs w:val="28"/>
        </w:rPr>
        <w:t>о</w:t>
      </w:r>
      <w:r w:rsidR="00F96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6458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="00F96458">
        <w:rPr>
          <w:rFonts w:ascii="Times New Roman" w:hAnsi="Times New Roman" w:cs="Times New Roman"/>
          <w:sz w:val="28"/>
          <w:szCs w:val="28"/>
        </w:rPr>
        <w:t>.</w:t>
      </w:r>
      <w:r w:rsidRPr="009100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0B2" w:rsidRDefault="009100B2" w:rsidP="00A73D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0B2">
        <w:rPr>
          <w:rFonts w:ascii="Times New Roman" w:hAnsi="Times New Roman" w:cs="Times New Roman"/>
          <w:sz w:val="28"/>
          <w:szCs w:val="28"/>
        </w:rPr>
        <w:t xml:space="preserve">Результаты опроса показали, что </w:t>
      </w:r>
      <w:r w:rsidR="00793B3E">
        <w:rPr>
          <w:rFonts w:ascii="Times New Roman" w:hAnsi="Times New Roman" w:cs="Times New Roman"/>
          <w:sz w:val="28"/>
          <w:szCs w:val="28"/>
        </w:rPr>
        <w:t xml:space="preserve">респонденты </w:t>
      </w:r>
      <w:r w:rsidR="00F47363">
        <w:rPr>
          <w:rFonts w:ascii="Times New Roman" w:hAnsi="Times New Roman" w:cs="Times New Roman"/>
          <w:sz w:val="28"/>
          <w:szCs w:val="28"/>
        </w:rPr>
        <w:t>преимущественно не находят привлекательной систему легализации «серого» рынка труда (теневого сектора экономики) через вве</w:t>
      </w:r>
      <w:r w:rsidR="00523538">
        <w:rPr>
          <w:rFonts w:ascii="Times New Roman" w:hAnsi="Times New Roman" w:cs="Times New Roman"/>
          <w:sz w:val="28"/>
          <w:szCs w:val="28"/>
        </w:rPr>
        <w:t xml:space="preserve">дение нового налогового режима для </w:t>
      </w:r>
      <w:proofErr w:type="spellStart"/>
      <w:r w:rsidR="00523538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="009E542F">
        <w:rPr>
          <w:rFonts w:ascii="Times New Roman" w:hAnsi="Times New Roman" w:cs="Times New Roman"/>
          <w:sz w:val="28"/>
          <w:szCs w:val="28"/>
        </w:rPr>
        <w:t xml:space="preserve">: </w:t>
      </w:r>
      <w:r w:rsidR="00596305">
        <w:rPr>
          <w:rFonts w:ascii="Times New Roman" w:hAnsi="Times New Roman" w:cs="Times New Roman"/>
          <w:sz w:val="28"/>
          <w:szCs w:val="28"/>
        </w:rPr>
        <w:t xml:space="preserve">ответ </w:t>
      </w:r>
      <w:r w:rsidR="009E542F">
        <w:rPr>
          <w:rFonts w:ascii="Times New Roman" w:hAnsi="Times New Roman" w:cs="Times New Roman"/>
          <w:sz w:val="28"/>
          <w:szCs w:val="28"/>
        </w:rPr>
        <w:t>«скорее нет, ч</w:t>
      </w:r>
      <w:r w:rsidR="00596305">
        <w:rPr>
          <w:rFonts w:ascii="Times New Roman" w:hAnsi="Times New Roman" w:cs="Times New Roman"/>
          <w:sz w:val="28"/>
          <w:szCs w:val="28"/>
        </w:rPr>
        <w:t>ем да» выбрали 41,2 процента из них, «нет, не привлекательна» - 17,6 процента. Привлекательной ее сочли в целом 23,6 процента (рисунок 1).</w:t>
      </w:r>
    </w:p>
    <w:p w:rsidR="008C5A5F" w:rsidRDefault="008C5A5F" w:rsidP="008C5A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39BED83" wp14:editId="03A27776">
            <wp:extent cx="5915025" cy="162877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C5A5F" w:rsidRDefault="00B54B7F" w:rsidP="008C5A5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Рисунок 1</w:t>
      </w:r>
      <w:r w:rsidR="008C5A5F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– Распределение ответов на вопрос: «</w:t>
      </w:r>
      <w:r w:rsidR="00320CF2" w:rsidRPr="00320CF2">
        <w:rPr>
          <w:rFonts w:ascii="Times New Roman" w:hAnsi="Times New Roman" w:cs="Times New Roman"/>
          <w:i/>
          <w:sz w:val="20"/>
          <w:szCs w:val="20"/>
        </w:rPr>
        <w:t xml:space="preserve">С Вашей точки зрения, система легализации «серого» рынка труда (теневого сектора экономики) через введение нового налогового режима </w:t>
      </w:r>
      <w:r w:rsidR="00715200">
        <w:rPr>
          <w:rFonts w:ascii="Times New Roman" w:hAnsi="Times New Roman" w:cs="Times New Roman"/>
          <w:i/>
          <w:sz w:val="20"/>
          <w:szCs w:val="20"/>
        </w:rPr>
        <w:t xml:space="preserve">для </w:t>
      </w:r>
      <w:proofErr w:type="spellStart"/>
      <w:r w:rsidR="00320CF2" w:rsidRPr="00320CF2">
        <w:rPr>
          <w:rFonts w:ascii="Times New Roman" w:hAnsi="Times New Roman" w:cs="Times New Roman"/>
          <w:i/>
          <w:sz w:val="20"/>
          <w:szCs w:val="20"/>
        </w:rPr>
        <w:t>самозанят</w:t>
      </w:r>
      <w:r w:rsidR="00715200">
        <w:rPr>
          <w:rFonts w:ascii="Times New Roman" w:hAnsi="Times New Roman" w:cs="Times New Roman"/>
          <w:i/>
          <w:sz w:val="20"/>
          <w:szCs w:val="20"/>
        </w:rPr>
        <w:t>ых</w:t>
      </w:r>
      <w:proofErr w:type="spellEnd"/>
      <w:r w:rsidR="00320CF2" w:rsidRPr="00320CF2">
        <w:rPr>
          <w:rFonts w:ascii="Times New Roman" w:hAnsi="Times New Roman" w:cs="Times New Roman"/>
          <w:i/>
          <w:sz w:val="20"/>
          <w:szCs w:val="20"/>
        </w:rPr>
        <w:t xml:space="preserve"> привлекательна?</w:t>
      </w:r>
      <w:r w:rsidR="008C5A5F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»</w:t>
      </w:r>
    </w:p>
    <w:p w:rsidR="00E95573" w:rsidRDefault="002B2FFD" w:rsidP="00E955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Большинство (76,5 процента) согласились с мнением, что введение налога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приведет к росту цен на их услуги или снижению качества и объемов оказываемых услуг при тех же ценах.</w:t>
      </w:r>
      <w:r w:rsidR="00590039">
        <w:rPr>
          <w:rFonts w:ascii="Times New Roman" w:hAnsi="Times New Roman" w:cs="Times New Roman"/>
          <w:sz w:val="28"/>
          <w:szCs w:val="28"/>
        </w:rPr>
        <w:t xml:space="preserve"> Почти половина опрошенных (47,1 процента) склонны считать, что доходы </w:t>
      </w:r>
      <w:proofErr w:type="spellStart"/>
      <w:r w:rsidR="00590039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="00590039">
        <w:rPr>
          <w:rFonts w:ascii="Times New Roman" w:hAnsi="Times New Roman" w:cs="Times New Roman"/>
          <w:sz w:val="28"/>
          <w:szCs w:val="28"/>
        </w:rPr>
        <w:t xml:space="preserve"> не только не выйдут из тени, но и </w:t>
      </w:r>
      <w:r w:rsidR="003029B4">
        <w:rPr>
          <w:rFonts w:ascii="Times New Roman" w:hAnsi="Times New Roman" w:cs="Times New Roman"/>
          <w:sz w:val="28"/>
          <w:szCs w:val="28"/>
        </w:rPr>
        <w:t>перейдут в наличный оборо</w:t>
      </w:r>
      <w:r w:rsidR="00631FBF">
        <w:rPr>
          <w:rFonts w:ascii="Times New Roman" w:hAnsi="Times New Roman" w:cs="Times New Roman"/>
          <w:sz w:val="28"/>
          <w:szCs w:val="28"/>
        </w:rPr>
        <w:t>т</w:t>
      </w:r>
      <w:r w:rsidR="0071093F">
        <w:rPr>
          <w:rFonts w:ascii="Times New Roman" w:hAnsi="Times New Roman" w:cs="Times New Roman"/>
          <w:sz w:val="28"/>
          <w:szCs w:val="28"/>
        </w:rPr>
        <w:t>, столько же согласились, что упрощенная регистрация позволит заниматься любимым делом в рамках закона.</w:t>
      </w:r>
      <w:r w:rsidR="00BB2E0B">
        <w:rPr>
          <w:rFonts w:ascii="Times New Roman" w:hAnsi="Times New Roman" w:cs="Times New Roman"/>
          <w:sz w:val="28"/>
          <w:szCs w:val="28"/>
        </w:rPr>
        <w:t xml:space="preserve"> Треть </w:t>
      </w:r>
      <w:r w:rsidR="003036A1">
        <w:rPr>
          <w:rFonts w:ascii="Times New Roman" w:hAnsi="Times New Roman" w:cs="Times New Roman"/>
          <w:sz w:val="28"/>
          <w:szCs w:val="28"/>
        </w:rPr>
        <w:t xml:space="preserve">(35,3 процента) согласна с мнением, </w:t>
      </w:r>
      <w:r w:rsidR="00A60A82">
        <w:rPr>
          <w:rFonts w:ascii="Times New Roman" w:hAnsi="Times New Roman" w:cs="Times New Roman"/>
          <w:sz w:val="28"/>
          <w:szCs w:val="28"/>
        </w:rPr>
        <w:t xml:space="preserve">что </w:t>
      </w:r>
      <w:bookmarkStart w:id="0" w:name="_GoBack"/>
      <w:bookmarkEnd w:id="0"/>
      <w:r w:rsidR="00523538">
        <w:rPr>
          <w:rFonts w:ascii="Times New Roman" w:hAnsi="Times New Roman" w:cs="Times New Roman"/>
          <w:sz w:val="28"/>
          <w:szCs w:val="28"/>
        </w:rPr>
        <w:t xml:space="preserve">могут уменьшиться </w:t>
      </w:r>
      <w:r w:rsidR="003036A1">
        <w:rPr>
          <w:rFonts w:ascii="Times New Roman" w:hAnsi="Times New Roman" w:cs="Times New Roman"/>
          <w:sz w:val="28"/>
          <w:szCs w:val="28"/>
        </w:rPr>
        <w:t>доходы местных бюджетов</w:t>
      </w:r>
      <w:r w:rsidR="00523538">
        <w:rPr>
          <w:rFonts w:ascii="Times New Roman" w:hAnsi="Times New Roman" w:cs="Times New Roman"/>
          <w:sz w:val="28"/>
          <w:szCs w:val="28"/>
        </w:rPr>
        <w:t xml:space="preserve">, если они лишатся </w:t>
      </w:r>
      <w:r w:rsidR="003036A1">
        <w:rPr>
          <w:rFonts w:ascii="Times New Roman" w:hAnsi="Times New Roman" w:cs="Times New Roman"/>
          <w:sz w:val="28"/>
          <w:szCs w:val="28"/>
        </w:rPr>
        <w:t>налогов</w:t>
      </w:r>
      <w:r w:rsidR="00523538">
        <w:rPr>
          <w:rFonts w:ascii="Times New Roman" w:hAnsi="Times New Roman" w:cs="Times New Roman"/>
          <w:sz w:val="28"/>
          <w:szCs w:val="28"/>
        </w:rPr>
        <w:t xml:space="preserve"> при переходе субъектов</w:t>
      </w:r>
      <w:r w:rsidR="003036A1">
        <w:rPr>
          <w:rFonts w:ascii="Times New Roman" w:hAnsi="Times New Roman" w:cs="Times New Roman"/>
          <w:sz w:val="28"/>
          <w:szCs w:val="28"/>
        </w:rPr>
        <w:t xml:space="preserve"> среднего и малого</w:t>
      </w:r>
      <w:r w:rsidR="00523538">
        <w:rPr>
          <w:rFonts w:ascii="Times New Roman" w:hAnsi="Times New Roman" w:cs="Times New Roman"/>
          <w:sz w:val="28"/>
          <w:szCs w:val="28"/>
        </w:rPr>
        <w:t xml:space="preserve"> предпринимательства</w:t>
      </w:r>
      <w:r w:rsidR="003036A1">
        <w:rPr>
          <w:rFonts w:ascii="Times New Roman" w:hAnsi="Times New Roman" w:cs="Times New Roman"/>
          <w:sz w:val="28"/>
          <w:szCs w:val="28"/>
        </w:rPr>
        <w:t xml:space="preserve"> на новый налоговый режим. В то же время обложение </w:t>
      </w:r>
      <w:proofErr w:type="spellStart"/>
      <w:r w:rsidR="003036A1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="003036A1">
        <w:rPr>
          <w:rFonts w:ascii="Times New Roman" w:hAnsi="Times New Roman" w:cs="Times New Roman"/>
          <w:sz w:val="28"/>
          <w:szCs w:val="28"/>
        </w:rPr>
        <w:t xml:space="preserve"> как </w:t>
      </w:r>
      <w:r w:rsidR="006E6099">
        <w:rPr>
          <w:rFonts w:ascii="Times New Roman" w:hAnsi="Times New Roman" w:cs="Times New Roman"/>
          <w:sz w:val="28"/>
          <w:szCs w:val="28"/>
        </w:rPr>
        <w:t>способ</w:t>
      </w:r>
      <w:r w:rsidR="003036A1">
        <w:rPr>
          <w:rFonts w:ascii="Times New Roman" w:hAnsi="Times New Roman" w:cs="Times New Roman"/>
          <w:sz w:val="28"/>
          <w:szCs w:val="28"/>
        </w:rPr>
        <w:t xml:space="preserve"> </w:t>
      </w:r>
      <w:r w:rsidR="00523538">
        <w:rPr>
          <w:rFonts w:ascii="Times New Roman" w:hAnsi="Times New Roman" w:cs="Times New Roman"/>
          <w:sz w:val="28"/>
          <w:szCs w:val="28"/>
        </w:rPr>
        <w:t>вывод</w:t>
      </w:r>
      <w:r w:rsidR="00BE7A2D">
        <w:rPr>
          <w:rFonts w:ascii="Times New Roman" w:hAnsi="Times New Roman" w:cs="Times New Roman"/>
          <w:sz w:val="28"/>
          <w:szCs w:val="28"/>
        </w:rPr>
        <w:t>а</w:t>
      </w:r>
      <w:r w:rsidR="00523538">
        <w:rPr>
          <w:rFonts w:ascii="Times New Roman" w:hAnsi="Times New Roman" w:cs="Times New Roman"/>
          <w:sz w:val="28"/>
          <w:szCs w:val="28"/>
        </w:rPr>
        <w:t xml:space="preserve"> </w:t>
      </w:r>
      <w:r w:rsidR="00523538">
        <w:rPr>
          <w:rFonts w:ascii="Times New Roman" w:hAnsi="Times New Roman" w:cs="Times New Roman"/>
          <w:sz w:val="28"/>
          <w:szCs w:val="28"/>
        </w:rPr>
        <w:lastRenderedPageBreak/>
        <w:t>их из тени</w:t>
      </w:r>
      <w:r w:rsidR="00BE7A2D">
        <w:rPr>
          <w:rFonts w:ascii="Times New Roman" w:hAnsi="Times New Roman" w:cs="Times New Roman"/>
          <w:sz w:val="28"/>
          <w:szCs w:val="28"/>
        </w:rPr>
        <w:t>, предполагающий</w:t>
      </w:r>
      <w:r w:rsidR="00523538">
        <w:rPr>
          <w:rFonts w:ascii="Times New Roman" w:hAnsi="Times New Roman" w:cs="Times New Roman"/>
          <w:sz w:val="28"/>
          <w:szCs w:val="28"/>
        </w:rPr>
        <w:t xml:space="preserve"> уплат</w:t>
      </w:r>
      <w:r w:rsidR="006E6099">
        <w:rPr>
          <w:rFonts w:ascii="Times New Roman" w:hAnsi="Times New Roman" w:cs="Times New Roman"/>
          <w:sz w:val="28"/>
          <w:szCs w:val="28"/>
        </w:rPr>
        <w:t>у</w:t>
      </w:r>
      <w:r w:rsidR="003036A1">
        <w:rPr>
          <w:rFonts w:ascii="Times New Roman" w:hAnsi="Times New Roman" w:cs="Times New Roman"/>
          <w:sz w:val="28"/>
          <w:szCs w:val="28"/>
        </w:rPr>
        <w:t xml:space="preserve"> ими налог</w:t>
      </w:r>
      <w:r w:rsidR="00523538">
        <w:rPr>
          <w:rFonts w:ascii="Times New Roman" w:hAnsi="Times New Roman" w:cs="Times New Roman"/>
          <w:sz w:val="28"/>
          <w:szCs w:val="28"/>
        </w:rPr>
        <w:t>ов</w:t>
      </w:r>
      <w:r w:rsidR="001056CA">
        <w:rPr>
          <w:rFonts w:ascii="Times New Roman" w:hAnsi="Times New Roman" w:cs="Times New Roman"/>
          <w:sz w:val="28"/>
          <w:szCs w:val="28"/>
        </w:rPr>
        <w:t>,</w:t>
      </w:r>
      <w:r w:rsidR="00523538">
        <w:rPr>
          <w:rFonts w:ascii="Times New Roman" w:hAnsi="Times New Roman" w:cs="Times New Roman"/>
          <w:sz w:val="28"/>
          <w:szCs w:val="28"/>
        </w:rPr>
        <w:t xml:space="preserve"> находят правильным решением П</w:t>
      </w:r>
      <w:r w:rsidR="003036A1">
        <w:rPr>
          <w:rFonts w:ascii="Times New Roman" w:hAnsi="Times New Roman" w:cs="Times New Roman"/>
          <w:sz w:val="28"/>
          <w:szCs w:val="28"/>
        </w:rPr>
        <w:t>равительства еще треть (35,</w:t>
      </w:r>
      <w:r w:rsidR="001A17CE">
        <w:rPr>
          <w:rFonts w:ascii="Times New Roman" w:hAnsi="Times New Roman" w:cs="Times New Roman"/>
          <w:sz w:val="28"/>
          <w:szCs w:val="28"/>
        </w:rPr>
        <w:t xml:space="preserve">3 </w:t>
      </w:r>
      <w:r w:rsidR="00542295">
        <w:rPr>
          <w:rFonts w:ascii="Times New Roman" w:hAnsi="Times New Roman" w:cs="Times New Roman"/>
          <w:sz w:val="28"/>
          <w:szCs w:val="28"/>
        </w:rPr>
        <w:t>процента – рисунок 2).</w:t>
      </w:r>
    </w:p>
    <w:p w:rsidR="00AD3572" w:rsidRPr="00435F87" w:rsidRDefault="00E95573" w:rsidP="00E9557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6457EEA" wp14:editId="6E5809D1">
            <wp:extent cx="5953125" cy="3261995"/>
            <wp:effectExtent l="0" t="0" r="9525" b="1460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95573" w:rsidRDefault="00E95573" w:rsidP="00E9557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Рисунок </w:t>
      </w:r>
      <w:r w:rsidR="00501D8D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2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– Распределение ответов на вопрос: «</w:t>
      </w:r>
      <w:r w:rsidR="00501D8D" w:rsidRPr="00501D8D">
        <w:rPr>
          <w:rFonts w:ascii="Times New Roman" w:hAnsi="Times New Roman" w:cs="Times New Roman"/>
          <w:i/>
          <w:sz w:val="20"/>
          <w:szCs w:val="20"/>
        </w:rPr>
        <w:t>Отметьт</w:t>
      </w:r>
      <w:r w:rsidR="00501D8D">
        <w:rPr>
          <w:rFonts w:ascii="Times New Roman" w:hAnsi="Times New Roman" w:cs="Times New Roman"/>
          <w:i/>
          <w:sz w:val="20"/>
          <w:szCs w:val="20"/>
        </w:rPr>
        <w:t>е</w:t>
      </w:r>
      <w:r w:rsidR="005150A0">
        <w:rPr>
          <w:rFonts w:ascii="Times New Roman" w:hAnsi="Times New Roman" w:cs="Times New Roman"/>
          <w:i/>
          <w:sz w:val="20"/>
          <w:szCs w:val="20"/>
        </w:rPr>
        <w:t>, пожалуйста,</w:t>
      </w:r>
      <w:r w:rsidR="00501D8D">
        <w:rPr>
          <w:rFonts w:ascii="Times New Roman" w:hAnsi="Times New Roman" w:cs="Times New Roman"/>
          <w:i/>
          <w:sz w:val="20"/>
          <w:szCs w:val="20"/>
        </w:rPr>
        <w:t xml:space="preserve"> мнение, с которым Вы согласны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»</w:t>
      </w:r>
    </w:p>
    <w:p w:rsidR="003D7D23" w:rsidRDefault="003D7D23" w:rsidP="00C864F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участники опроса трудоустроены официально. </w:t>
      </w:r>
      <w:r w:rsidR="00DF5E3C">
        <w:rPr>
          <w:rFonts w:ascii="Times New Roman" w:hAnsi="Times New Roman" w:cs="Times New Roman"/>
          <w:sz w:val="28"/>
          <w:szCs w:val="28"/>
        </w:rPr>
        <w:t>Из них наемными работниками в государственной (муниципальной) структуре являются 88,2 проц</w:t>
      </w:r>
      <w:r w:rsidR="001C2A27">
        <w:rPr>
          <w:rFonts w:ascii="Times New Roman" w:hAnsi="Times New Roman" w:cs="Times New Roman"/>
          <w:sz w:val="28"/>
          <w:szCs w:val="28"/>
        </w:rPr>
        <w:t>ента, в коммерческой</w:t>
      </w:r>
      <w:r w:rsidR="00DF5E3C">
        <w:rPr>
          <w:rFonts w:ascii="Times New Roman" w:hAnsi="Times New Roman" w:cs="Times New Roman"/>
          <w:sz w:val="28"/>
          <w:szCs w:val="28"/>
        </w:rPr>
        <w:t xml:space="preserve"> – 11,8 процента.</w:t>
      </w:r>
      <w:r w:rsidR="007906A2">
        <w:rPr>
          <w:rFonts w:ascii="Times New Roman" w:hAnsi="Times New Roman" w:cs="Times New Roman"/>
          <w:sz w:val="28"/>
          <w:szCs w:val="28"/>
        </w:rPr>
        <w:t xml:space="preserve"> А</w:t>
      </w:r>
      <w:r w:rsidR="00430C18">
        <w:rPr>
          <w:rFonts w:ascii="Times New Roman" w:hAnsi="Times New Roman" w:cs="Times New Roman"/>
          <w:sz w:val="28"/>
          <w:szCs w:val="28"/>
        </w:rPr>
        <w:t xml:space="preserve">налитической </w:t>
      </w:r>
      <w:r w:rsidR="006F3099">
        <w:rPr>
          <w:rFonts w:ascii="Times New Roman" w:hAnsi="Times New Roman" w:cs="Times New Roman"/>
          <w:sz w:val="28"/>
          <w:szCs w:val="28"/>
        </w:rPr>
        <w:t xml:space="preserve">деятельностью по основному месту работы занимаются 41,2 процента </w:t>
      </w:r>
      <w:r w:rsidR="00D505DE">
        <w:rPr>
          <w:rFonts w:ascii="Times New Roman" w:hAnsi="Times New Roman" w:cs="Times New Roman"/>
          <w:sz w:val="28"/>
          <w:szCs w:val="28"/>
        </w:rPr>
        <w:t>опрошенных</w:t>
      </w:r>
      <w:r w:rsidR="006F3099">
        <w:rPr>
          <w:rFonts w:ascii="Times New Roman" w:hAnsi="Times New Roman" w:cs="Times New Roman"/>
          <w:sz w:val="28"/>
          <w:szCs w:val="28"/>
        </w:rPr>
        <w:t>, в области бухучета, аудита трудятся 29,4 процента, государственные услуги предоставляют 11,8 процента, в государственном (муниципальном) управлении служат 11,8 процента, в области права – 5,9</w:t>
      </w:r>
      <w:r w:rsidR="000824DC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6F3099">
        <w:rPr>
          <w:rFonts w:ascii="Times New Roman" w:hAnsi="Times New Roman" w:cs="Times New Roman"/>
          <w:sz w:val="28"/>
          <w:szCs w:val="28"/>
        </w:rPr>
        <w:t>,</w:t>
      </w:r>
      <w:r w:rsidR="000824DC">
        <w:rPr>
          <w:rFonts w:ascii="Times New Roman" w:hAnsi="Times New Roman" w:cs="Times New Roman"/>
          <w:sz w:val="28"/>
          <w:szCs w:val="28"/>
        </w:rPr>
        <w:t xml:space="preserve"> в магазине, киос</w:t>
      </w:r>
      <w:r w:rsidR="00C76584">
        <w:rPr>
          <w:rFonts w:ascii="Times New Roman" w:hAnsi="Times New Roman" w:cs="Times New Roman"/>
          <w:sz w:val="28"/>
          <w:szCs w:val="28"/>
        </w:rPr>
        <w:t>к</w:t>
      </w:r>
      <w:r w:rsidR="000824DC">
        <w:rPr>
          <w:rFonts w:ascii="Times New Roman" w:hAnsi="Times New Roman" w:cs="Times New Roman"/>
          <w:sz w:val="28"/>
          <w:szCs w:val="28"/>
        </w:rPr>
        <w:t>е работают 5,9 процента (рисунок 3)</w:t>
      </w:r>
      <w:r w:rsidR="00C76584">
        <w:rPr>
          <w:rFonts w:ascii="Times New Roman" w:hAnsi="Times New Roman" w:cs="Times New Roman"/>
          <w:sz w:val="28"/>
          <w:szCs w:val="28"/>
        </w:rPr>
        <w:t>.</w:t>
      </w:r>
    </w:p>
    <w:p w:rsidR="007906A2" w:rsidRDefault="007906A2" w:rsidP="006246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F5F1EF3" wp14:editId="4E081757">
            <wp:extent cx="5972175" cy="265747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24620" w:rsidRDefault="00624620" w:rsidP="006E408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Рисунок 3 – Распределение ответов на вопрос: «</w:t>
      </w:r>
      <w:r w:rsidR="00533EA7">
        <w:rPr>
          <w:rFonts w:ascii="Times New Roman" w:hAnsi="Times New Roman" w:cs="Times New Roman"/>
          <w:i/>
          <w:sz w:val="20"/>
          <w:szCs w:val="20"/>
        </w:rPr>
        <w:t>В какой сфере Вы трудитесь по основному месту работы?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»</w:t>
      </w:r>
    </w:p>
    <w:p w:rsidR="003C09F0" w:rsidRDefault="003C09F0" w:rsidP="00534E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 же время </w:t>
      </w:r>
      <w:r w:rsidR="00B5265B">
        <w:rPr>
          <w:rFonts w:ascii="Times New Roman" w:hAnsi="Times New Roman" w:cs="Times New Roman"/>
          <w:sz w:val="28"/>
          <w:szCs w:val="28"/>
        </w:rPr>
        <w:t xml:space="preserve">35,3 процента опрошенных </w:t>
      </w:r>
      <w:r>
        <w:rPr>
          <w:rFonts w:ascii="Times New Roman" w:hAnsi="Times New Roman" w:cs="Times New Roman"/>
          <w:sz w:val="28"/>
          <w:szCs w:val="28"/>
        </w:rPr>
        <w:t>указали</w:t>
      </w:r>
      <w:r w:rsidR="00B5265B">
        <w:rPr>
          <w:rFonts w:ascii="Times New Roman" w:hAnsi="Times New Roman" w:cs="Times New Roman"/>
          <w:sz w:val="28"/>
          <w:szCs w:val="28"/>
        </w:rPr>
        <w:t xml:space="preserve"> на то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r w:rsidR="00B5265B">
        <w:rPr>
          <w:rFonts w:ascii="Times New Roman" w:hAnsi="Times New Roman" w:cs="Times New Roman"/>
          <w:sz w:val="28"/>
          <w:szCs w:val="28"/>
        </w:rPr>
        <w:t xml:space="preserve">трудятся </w:t>
      </w:r>
      <w:r>
        <w:rPr>
          <w:rFonts w:ascii="Times New Roman" w:hAnsi="Times New Roman" w:cs="Times New Roman"/>
          <w:sz w:val="28"/>
          <w:szCs w:val="28"/>
        </w:rPr>
        <w:t>вне основного места работы</w:t>
      </w:r>
      <w:r w:rsidR="00B5265B">
        <w:rPr>
          <w:rFonts w:ascii="Times New Roman" w:hAnsi="Times New Roman" w:cs="Times New Roman"/>
          <w:sz w:val="28"/>
          <w:szCs w:val="28"/>
        </w:rPr>
        <w:t>:</w:t>
      </w:r>
      <w:r w:rsidR="008647BA">
        <w:rPr>
          <w:rFonts w:ascii="Times New Roman" w:hAnsi="Times New Roman" w:cs="Times New Roman"/>
          <w:sz w:val="28"/>
          <w:szCs w:val="28"/>
        </w:rPr>
        <w:t xml:space="preserve"> оказывают услуги по строительству, ремонту жилищ, ремонту бытовых приборов, компьютеров, сотовых телефонов, планшетов, программированию, в области бухучета, аудита, права, посреднические услуги в </w:t>
      </w:r>
      <w:r w:rsidR="004E13A2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8647BA">
        <w:rPr>
          <w:rFonts w:ascii="Times New Roman" w:hAnsi="Times New Roman" w:cs="Times New Roman"/>
          <w:sz w:val="28"/>
          <w:szCs w:val="28"/>
        </w:rPr>
        <w:t xml:space="preserve">недвижимости, </w:t>
      </w:r>
      <w:r w:rsidR="00955E28">
        <w:rPr>
          <w:rFonts w:ascii="Times New Roman" w:hAnsi="Times New Roman" w:cs="Times New Roman"/>
          <w:sz w:val="28"/>
          <w:szCs w:val="28"/>
        </w:rPr>
        <w:t xml:space="preserve">занимаются частным извозом, </w:t>
      </w:r>
      <w:r w:rsidR="000D524C">
        <w:rPr>
          <w:rFonts w:ascii="Times New Roman" w:hAnsi="Times New Roman" w:cs="Times New Roman"/>
          <w:sz w:val="28"/>
          <w:szCs w:val="28"/>
        </w:rPr>
        <w:t>изготовлением потребительских товаров (кроме продуктов питания), торговлей продовольственными товарами.</w:t>
      </w:r>
      <w:r w:rsidR="00E804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6A8" w:rsidRDefault="004006A8" w:rsidP="00B5265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причин, по которым им пришлось неофициально работать дополнительно, основные </w:t>
      </w:r>
      <w:r w:rsidR="007C54E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54EB">
        <w:rPr>
          <w:rFonts w:ascii="Times New Roman" w:hAnsi="Times New Roman" w:cs="Times New Roman"/>
          <w:sz w:val="28"/>
          <w:szCs w:val="28"/>
        </w:rPr>
        <w:t xml:space="preserve">недостаточный заработок по основному месту работы и отсутствие возможности трудоустроиться </w:t>
      </w:r>
      <w:r w:rsidR="00036DE0">
        <w:rPr>
          <w:rFonts w:ascii="Times New Roman" w:hAnsi="Times New Roman" w:cs="Times New Roman"/>
          <w:sz w:val="28"/>
          <w:szCs w:val="28"/>
        </w:rPr>
        <w:t>официально (рисунок 4).</w:t>
      </w:r>
      <w:r w:rsidR="001B325B" w:rsidRPr="001B32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25B" w:rsidRDefault="001B325B" w:rsidP="001B325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Заявиться в качестве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готовы лишь 5,9 процента из них. Собственниками своего дела назвали себя 33,3 процента: одни справлялись в одиночку, другие – обращались за помощью к родственникам.</w:t>
      </w:r>
    </w:p>
    <w:p w:rsidR="001B325B" w:rsidRDefault="001B325B" w:rsidP="00B5265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28FA" w:rsidRDefault="001C54B5" w:rsidP="00801A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7973253" wp14:editId="4873E1F6">
            <wp:extent cx="5857875" cy="21717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01A5E" w:rsidRDefault="00801A5E" w:rsidP="00801A5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Рисунок 4 – Распределение ответов на вопрос: «</w:t>
      </w:r>
      <w:r w:rsidRPr="00801A5E">
        <w:rPr>
          <w:rFonts w:ascii="Times New Roman" w:hAnsi="Times New Roman" w:cs="Times New Roman"/>
          <w:i/>
          <w:sz w:val="20"/>
          <w:szCs w:val="20"/>
        </w:rPr>
        <w:t>Что побудило Вас заняться работой без официального оформления?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»</w:t>
      </w:r>
    </w:p>
    <w:p w:rsidR="00C96520" w:rsidRDefault="00C6334E" w:rsidP="00C633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опросе приняли участие 64,7 процента женщин в возрасте от 24 до 55 лет и 35,3 процента мужчин в возрасте от 24 до 56 лет. Все они имеют высшее образование </w:t>
      </w:r>
      <w:r w:rsidR="00FF7E15">
        <w:rPr>
          <w:rFonts w:ascii="Times New Roman" w:hAnsi="Times New Roman" w:cs="Times New Roman"/>
          <w:sz w:val="28"/>
          <w:szCs w:val="28"/>
        </w:rPr>
        <w:t xml:space="preserve">(100,0 процента) </w:t>
      </w:r>
      <w:r>
        <w:rPr>
          <w:rFonts w:ascii="Times New Roman" w:hAnsi="Times New Roman" w:cs="Times New Roman"/>
          <w:sz w:val="28"/>
          <w:szCs w:val="28"/>
        </w:rPr>
        <w:t xml:space="preserve">и проживают преимущественно в городах </w:t>
      </w:r>
      <w:r w:rsidR="00FF7E15">
        <w:rPr>
          <w:rFonts w:ascii="Times New Roman" w:hAnsi="Times New Roman" w:cs="Times New Roman"/>
          <w:sz w:val="28"/>
          <w:szCs w:val="28"/>
        </w:rPr>
        <w:t>(94,1 процента).</w:t>
      </w:r>
      <w:r w:rsidR="00FD4610">
        <w:rPr>
          <w:rFonts w:ascii="Times New Roman" w:hAnsi="Times New Roman" w:cs="Times New Roman"/>
          <w:sz w:val="28"/>
          <w:szCs w:val="28"/>
        </w:rPr>
        <w:t xml:space="preserve"> М</w:t>
      </w:r>
      <w:r w:rsidR="000B384F">
        <w:rPr>
          <w:rFonts w:ascii="Times New Roman" w:hAnsi="Times New Roman" w:cs="Times New Roman"/>
          <w:sz w:val="28"/>
          <w:szCs w:val="28"/>
        </w:rPr>
        <w:t>атериальное положение</w:t>
      </w:r>
      <w:r w:rsidR="00FD4610">
        <w:rPr>
          <w:rFonts w:ascii="Times New Roman" w:hAnsi="Times New Roman" w:cs="Times New Roman"/>
          <w:sz w:val="28"/>
          <w:szCs w:val="28"/>
        </w:rPr>
        <w:t xml:space="preserve"> своей семьи</w:t>
      </w:r>
      <w:r w:rsidR="000B384F">
        <w:rPr>
          <w:rFonts w:ascii="Times New Roman" w:hAnsi="Times New Roman" w:cs="Times New Roman"/>
          <w:sz w:val="28"/>
          <w:szCs w:val="28"/>
        </w:rPr>
        <w:t xml:space="preserve"> они, чаще всего, оценивают невысоко: «</w:t>
      </w:r>
      <w:r w:rsidR="000B384F" w:rsidRPr="000B384F">
        <w:rPr>
          <w:rFonts w:ascii="Times New Roman" w:hAnsi="Times New Roman" w:cs="Times New Roman"/>
          <w:sz w:val="28"/>
          <w:szCs w:val="28"/>
        </w:rPr>
        <w:t>Денег хватает только для приобретения необходимых продуктов и одежды, но покупка товаров длительного пользования вызывает затруднение</w:t>
      </w:r>
      <w:r w:rsidR="000B384F">
        <w:rPr>
          <w:rFonts w:ascii="Times New Roman" w:hAnsi="Times New Roman" w:cs="Times New Roman"/>
          <w:sz w:val="28"/>
          <w:szCs w:val="28"/>
        </w:rPr>
        <w:t>» (64,7 процента</w:t>
      </w:r>
      <w:r w:rsidR="00FD4610">
        <w:rPr>
          <w:rFonts w:ascii="Times New Roman" w:hAnsi="Times New Roman" w:cs="Times New Roman"/>
          <w:sz w:val="28"/>
          <w:szCs w:val="28"/>
        </w:rPr>
        <w:t xml:space="preserve"> – рисунок 5).</w:t>
      </w:r>
    </w:p>
    <w:p w:rsidR="001D214F" w:rsidRDefault="001D214F" w:rsidP="006329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B45CBFB" wp14:editId="488E685C">
            <wp:extent cx="5848350" cy="27432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248F0" w:rsidRPr="001C5FD1" w:rsidRDefault="001248F0" w:rsidP="00632942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C5FD1">
        <w:rPr>
          <w:rFonts w:ascii="Times New Roman" w:hAnsi="Times New Roman" w:cs="Times New Roman"/>
          <w:i/>
          <w:sz w:val="20"/>
          <w:szCs w:val="20"/>
        </w:rPr>
        <w:t xml:space="preserve">Рисунок 5 – Распределение </w:t>
      </w:r>
      <w:r w:rsidR="001C5FD1">
        <w:rPr>
          <w:rFonts w:ascii="Times New Roman" w:hAnsi="Times New Roman" w:cs="Times New Roman"/>
          <w:i/>
          <w:sz w:val="20"/>
          <w:szCs w:val="20"/>
        </w:rPr>
        <w:t>ответов на вопрос: «Как Вы оцениваете материальное положение своей семьи?»</w:t>
      </w:r>
    </w:p>
    <w:sectPr w:rsidR="001248F0" w:rsidRPr="001C5FD1" w:rsidSect="00CC7EA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F7F" w:rsidRDefault="00AB4F7F" w:rsidP="00A75D80">
      <w:pPr>
        <w:spacing w:after="0" w:line="240" w:lineRule="auto"/>
      </w:pPr>
      <w:r>
        <w:separator/>
      </w:r>
    </w:p>
  </w:endnote>
  <w:endnote w:type="continuationSeparator" w:id="0">
    <w:p w:rsidR="00AB4F7F" w:rsidRDefault="00AB4F7F" w:rsidP="00A75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38C" w:rsidRDefault="00D6338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38C" w:rsidRDefault="00D6338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38C" w:rsidRDefault="00D633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F7F" w:rsidRDefault="00AB4F7F" w:rsidP="00A75D80">
      <w:pPr>
        <w:spacing w:after="0" w:line="240" w:lineRule="auto"/>
      </w:pPr>
      <w:r>
        <w:separator/>
      </w:r>
    </w:p>
  </w:footnote>
  <w:footnote w:type="continuationSeparator" w:id="0">
    <w:p w:rsidR="00AB4F7F" w:rsidRDefault="00AB4F7F" w:rsidP="00A75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38C" w:rsidRDefault="00D6338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-599250207"/>
      <w:docPartObj>
        <w:docPartGallery w:val="Page Numbers (Top of Page)"/>
        <w:docPartUnique/>
      </w:docPartObj>
    </w:sdtPr>
    <w:sdtEndPr/>
    <w:sdtContent>
      <w:p w:rsidR="00A75D80" w:rsidRPr="00D6338C" w:rsidRDefault="00A75D8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6338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6338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6338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60A82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D6338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75D80" w:rsidRDefault="00A75D8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38C" w:rsidRDefault="00D6338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7A284B"/>
    <w:multiLevelType w:val="hybridMultilevel"/>
    <w:tmpl w:val="C012E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0B2"/>
    <w:rsid w:val="000022AC"/>
    <w:rsid w:val="00002FA6"/>
    <w:rsid w:val="00004D55"/>
    <w:rsid w:val="00007498"/>
    <w:rsid w:val="00027FF8"/>
    <w:rsid w:val="00036DE0"/>
    <w:rsid w:val="000426F1"/>
    <w:rsid w:val="000541FE"/>
    <w:rsid w:val="00066849"/>
    <w:rsid w:val="000673B8"/>
    <w:rsid w:val="0007127E"/>
    <w:rsid w:val="00076C01"/>
    <w:rsid w:val="00076E41"/>
    <w:rsid w:val="000824DC"/>
    <w:rsid w:val="000A00B3"/>
    <w:rsid w:val="000A4143"/>
    <w:rsid w:val="000A6938"/>
    <w:rsid w:val="000B384F"/>
    <w:rsid w:val="000B3B84"/>
    <w:rsid w:val="000C39A9"/>
    <w:rsid w:val="000D524C"/>
    <w:rsid w:val="000E019A"/>
    <w:rsid w:val="000F5A42"/>
    <w:rsid w:val="00103B33"/>
    <w:rsid w:val="001056CA"/>
    <w:rsid w:val="00123C13"/>
    <w:rsid w:val="001248F0"/>
    <w:rsid w:val="00143B9F"/>
    <w:rsid w:val="00143BFA"/>
    <w:rsid w:val="00145EE1"/>
    <w:rsid w:val="001519C3"/>
    <w:rsid w:val="001636DB"/>
    <w:rsid w:val="00176C0E"/>
    <w:rsid w:val="00193C55"/>
    <w:rsid w:val="00196848"/>
    <w:rsid w:val="001A17CE"/>
    <w:rsid w:val="001B325B"/>
    <w:rsid w:val="001B5D1E"/>
    <w:rsid w:val="001C17CB"/>
    <w:rsid w:val="001C2A27"/>
    <w:rsid w:val="001C54B5"/>
    <w:rsid w:val="001C5FD1"/>
    <w:rsid w:val="001D214F"/>
    <w:rsid w:val="001D657F"/>
    <w:rsid w:val="001D73BE"/>
    <w:rsid w:val="002077CD"/>
    <w:rsid w:val="00216652"/>
    <w:rsid w:val="00220AE6"/>
    <w:rsid w:val="00233E70"/>
    <w:rsid w:val="00241983"/>
    <w:rsid w:val="00244393"/>
    <w:rsid w:val="00246A1D"/>
    <w:rsid w:val="00250E3B"/>
    <w:rsid w:val="002713CB"/>
    <w:rsid w:val="002816E9"/>
    <w:rsid w:val="002866B1"/>
    <w:rsid w:val="00294091"/>
    <w:rsid w:val="002A5845"/>
    <w:rsid w:val="002B2FFD"/>
    <w:rsid w:val="002B70A0"/>
    <w:rsid w:val="002D34BA"/>
    <w:rsid w:val="002E1F7C"/>
    <w:rsid w:val="002E6207"/>
    <w:rsid w:val="002F0DC6"/>
    <w:rsid w:val="00300CC8"/>
    <w:rsid w:val="003029B4"/>
    <w:rsid w:val="003036A1"/>
    <w:rsid w:val="003075AC"/>
    <w:rsid w:val="00320CF2"/>
    <w:rsid w:val="003311D1"/>
    <w:rsid w:val="00367129"/>
    <w:rsid w:val="00370D32"/>
    <w:rsid w:val="00374921"/>
    <w:rsid w:val="00375709"/>
    <w:rsid w:val="00376F13"/>
    <w:rsid w:val="00383106"/>
    <w:rsid w:val="00387BA6"/>
    <w:rsid w:val="003B11FD"/>
    <w:rsid w:val="003C09F0"/>
    <w:rsid w:val="003C27B4"/>
    <w:rsid w:val="003D2B63"/>
    <w:rsid w:val="003D51D1"/>
    <w:rsid w:val="003D7D23"/>
    <w:rsid w:val="003E2F2B"/>
    <w:rsid w:val="003E49B8"/>
    <w:rsid w:val="003F01E3"/>
    <w:rsid w:val="004006A8"/>
    <w:rsid w:val="00401226"/>
    <w:rsid w:val="00402CE1"/>
    <w:rsid w:val="00405CAA"/>
    <w:rsid w:val="00410EC0"/>
    <w:rsid w:val="004224EE"/>
    <w:rsid w:val="004232CA"/>
    <w:rsid w:val="004302F7"/>
    <w:rsid w:val="00430C18"/>
    <w:rsid w:val="00435F87"/>
    <w:rsid w:val="00455095"/>
    <w:rsid w:val="00470098"/>
    <w:rsid w:val="00476499"/>
    <w:rsid w:val="00494E3B"/>
    <w:rsid w:val="00497568"/>
    <w:rsid w:val="004A1EDD"/>
    <w:rsid w:val="004D37A6"/>
    <w:rsid w:val="004E13A2"/>
    <w:rsid w:val="00501D8D"/>
    <w:rsid w:val="0050519F"/>
    <w:rsid w:val="00505379"/>
    <w:rsid w:val="005146B7"/>
    <w:rsid w:val="00514BB0"/>
    <w:rsid w:val="005150A0"/>
    <w:rsid w:val="005202E2"/>
    <w:rsid w:val="00522A38"/>
    <w:rsid w:val="00523538"/>
    <w:rsid w:val="005235C0"/>
    <w:rsid w:val="005310B0"/>
    <w:rsid w:val="00532E0D"/>
    <w:rsid w:val="00533EA7"/>
    <w:rsid w:val="00534EB9"/>
    <w:rsid w:val="00536A53"/>
    <w:rsid w:val="00542295"/>
    <w:rsid w:val="00542A7D"/>
    <w:rsid w:val="00550B68"/>
    <w:rsid w:val="00554686"/>
    <w:rsid w:val="00565EB4"/>
    <w:rsid w:val="005724CB"/>
    <w:rsid w:val="00574EFC"/>
    <w:rsid w:val="005806E6"/>
    <w:rsid w:val="00581CF2"/>
    <w:rsid w:val="00582C57"/>
    <w:rsid w:val="00585581"/>
    <w:rsid w:val="00590039"/>
    <w:rsid w:val="005909AB"/>
    <w:rsid w:val="005948C2"/>
    <w:rsid w:val="00594F1F"/>
    <w:rsid w:val="00596305"/>
    <w:rsid w:val="00596AC9"/>
    <w:rsid w:val="005A5F9E"/>
    <w:rsid w:val="005A702B"/>
    <w:rsid w:val="005B6FF7"/>
    <w:rsid w:val="005C3B39"/>
    <w:rsid w:val="005C6961"/>
    <w:rsid w:val="005C7374"/>
    <w:rsid w:val="005D0A66"/>
    <w:rsid w:val="00624620"/>
    <w:rsid w:val="00631FBF"/>
    <w:rsid w:val="00632374"/>
    <w:rsid w:val="00632942"/>
    <w:rsid w:val="00643229"/>
    <w:rsid w:val="00653F5D"/>
    <w:rsid w:val="00663349"/>
    <w:rsid w:val="00680357"/>
    <w:rsid w:val="006861E4"/>
    <w:rsid w:val="00690C8C"/>
    <w:rsid w:val="00690D3E"/>
    <w:rsid w:val="006A5673"/>
    <w:rsid w:val="006A5A99"/>
    <w:rsid w:val="006A74C7"/>
    <w:rsid w:val="006B454B"/>
    <w:rsid w:val="006C0298"/>
    <w:rsid w:val="006E4082"/>
    <w:rsid w:val="006E6099"/>
    <w:rsid w:val="006F3099"/>
    <w:rsid w:val="006F7CE9"/>
    <w:rsid w:val="006F7EE7"/>
    <w:rsid w:val="00700245"/>
    <w:rsid w:val="007015A7"/>
    <w:rsid w:val="0071093F"/>
    <w:rsid w:val="00715200"/>
    <w:rsid w:val="0071790B"/>
    <w:rsid w:val="007258D4"/>
    <w:rsid w:val="007349B8"/>
    <w:rsid w:val="007454F2"/>
    <w:rsid w:val="00746508"/>
    <w:rsid w:val="00751761"/>
    <w:rsid w:val="007570C3"/>
    <w:rsid w:val="00783E6D"/>
    <w:rsid w:val="00784F21"/>
    <w:rsid w:val="007863A4"/>
    <w:rsid w:val="0078694E"/>
    <w:rsid w:val="007906A2"/>
    <w:rsid w:val="00793B3E"/>
    <w:rsid w:val="007A6B17"/>
    <w:rsid w:val="007B6984"/>
    <w:rsid w:val="007C54EB"/>
    <w:rsid w:val="007D0198"/>
    <w:rsid w:val="007D5A46"/>
    <w:rsid w:val="007D6100"/>
    <w:rsid w:val="007E22F1"/>
    <w:rsid w:val="007F308A"/>
    <w:rsid w:val="007F7A0B"/>
    <w:rsid w:val="00801A5E"/>
    <w:rsid w:val="00803C29"/>
    <w:rsid w:val="00811D80"/>
    <w:rsid w:val="008235EE"/>
    <w:rsid w:val="0083659E"/>
    <w:rsid w:val="008366D6"/>
    <w:rsid w:val="00836773"/>
    <w:rsid w:val="00845331"/>
    <w:rsid w:val="00855544"/>
    <w:rsid w:val="008574F1"/>
    <w:rsid w:val="008608E0"/>
    <w:rsid w:val="008612C1"/>
    <w:rsid w:val="0086417E"/>
    <w:rsid w:val="008647BA"/>
    <w:rsid w:val="008655FD"/>
    <w:rsid w:val="008701B4"/>
    <w:rsid w:val="00876D34"/>
    <w:rsid w:val="00876F2B"/>
    <w:rsid w:val="0089191B"/>
    <w:rsid w:val="008A669D"/>
    <w:rsid w:val="008A6E29"/>
    <w:rsid w:val="008C0EF4"/>
    <w:rsid w:val="008C22DE"/>
    <w:rsid w:val="008C5A5F"/>
    <w:rsid w:val="008E1BE8"/>
    <w:rsid w:val="008E2517"/>
    <w:rsid w:val="008F0FAA"/>
    <w:rsid w:val="00902EE0"/>
    <w:rsid w:val="00904002"/>
    <w:rsid w:val="00905BFF"/>
    <w:rsid w:val="009100B2"/>
    <w:rsid w:val="009126F8"/>
    <w:rsid w:val="00935137"/>
    <w:rsid w:val="009439B6"/>
    <w:rsid w:val="009509C0"/>
    <w:rsid w:val="009544C8"/>
    <w:rsid w:val="00955E28"/>
    <w:rsid w:val="00957042"/>
    <w:rsid w:val="00971262"/>
    <w:rsid w:val="00977C21"/>
    <w:rsid w:val="009834FD"/>
    <w:rsid w:val="009844DA"/>
    <w:rsid w:val="00984A98"/>
    <w:rsid w:val="00985D5F"/>
    <w:rsid w:val="00986181"/>
    <w:rsid w:val="00992A5F"/>
    <w:rsid w:val="00993562"/>
    <w:rsid w:val="009A57E7"/>
    <w:rsid w:val="009B219A"/>
    <w:rsid w:val="009C39D3"/>
    <w:rsid w:val="009D0CE2"/>
    <w:rsid w:val="009E542F"/>
    <w:rsid w:val="009F01C5"/>
    <w:rsid w:val="009F7C62"/>
    <w:rsid w:val="00A007C9"/>
    <w:rsid w:val="00A071BF"/>
    <w:rsid w:val="00A10F44"/>
    <w:rsid w:val="00A10FFC"/>
    <w:rsid w:val="00A349E7"/>
    <w:rsid w:val="00A45C9A"/>
    <w:rsid w:val="00A528FA"/>
    <w:rsid w:val="00A541B2"/>
    <w:rsid w:val="00A54994"/>
    <w:rsid w:val="00A60A82"/>
    <w:rsid w:val="00A62E82"/>
    <w:rsid w:val="00A72B08"/>
    <w:rsid w:val="00A72E4D"/>
    <w:rsid w:val="00A73D5E"/>
    <w:rsid w:val="00A75D80"/>
    <w:rsid w:val="00A80DD9"/>
    <w:rsid w:val="00A8283B"/>
    <w:rsid w:val="00A87A4F"/>
    <w:rsid w:val="00AA37FF"/>
    <w:rsid w:val="00AB4AA5"/>
    <w:rsid w:val="00AB4F7F"/>
    <w:rsid w:val="00AC00E2"/>
    <w:rsid w:val="00AC2A8C"/>
    <w:rsid w:val="00AD3572"/>
    <w:rsid w:val="00AE2ED8"/>
    <w:rsid w:val="00B01AD8"/>
    <w:rsid w:val="00B04575"/>
    <w:rsid w:val="00B24AF5"/>
    <w:rsid w:val="00B2653C"/>
    <w:rsid w:val="00B310AD"/>
    <w:rsid w:val="00B51C4F"/>
    <w:rsid w:val="00B5265B"/>
    <w:rsid w:val="00B54B7F"/>
    <w:rsid w:val="00B67083"/>
    <w:rsid w:val="00B704D4"/>
    <w:rsid w:val="00B77888"/>
    <w:rsid w:val="00B81A35"/>
    <w:rsid w:val="00B85B34"/>
    <w:rsid w:val="00B85D25"/>
    <w:rsid w:val="00B871B1"/>
    <w:rsid w:val="00B87E83"/>
    <w:rsid w:val="00B92DA9"/>
    <w:rsid w:val="00B957BB"/>
    <w:rsid w:val="00BB2D30"/>
    <w:rsid w:val="00BB2E0B"/>
    <w:rsid w:val="00BC621C"/>
    <w:rsid w:val="00BD0FAD"/>
    <w:rsid w:val="00BE6805"/>
    <w:rsid w:val="00BE7A2D"/>
    <w:rsid w:val="00C23301"/>
    <w:rsid w:val="00C33FF8"/>
    <w:rsid w:val="00C405AC"/>
    <w:rsid w:val="00C431AB"/>
    <w:rsid w:val="00C43CCD"/>
    <w:rsid w:val="00C606DC"/>
    <w:rsid w:val="00C6334E"/>
    <w:rsid w:val="00C76584"/>
    <w:rsid w:val="00C80F23"/>
    <w:rsid w:val="00C845A7"/>
    <w:rsid w:val="00C864F0"/>
    <w:rsid w:val="00C900F6"/>
    <w:rsid w:val="00C90E76"/>
    <w:rsid w:val="00C92CC7"/>
    <w:rsid w:val="00C94624"/>
    <w:rsid w:val="00C96520"/>
    <w:rsid w:val="00CC0C51"/>
    <w:rsid w:val="00CC7EAB"/>
    <w:rsid w:val="00CC7ECA"/>
    <w:rsid w:val="00CD37F4"/>
    <w:rsid w:val="00CD6F7E"/>
    <w:rsid w:val="00CF4767"/>
    <w:rsid w:val="00D03B17"/>
    <w:rsid w:val="00D12B99"/>
    <w:rsid w:val="00D20405"/>
    <w:rsid w:val="00D2294E"/>
    <w:rsid w:val="00D25603"/>
    <w:rsid w:val="00D30A47"/>
    <w:rsid w:val="00D505DE"/>
    <w:rsid w:val="00D55634"/>
    <w:rsid w:val="00D6338C"/>
    <w:rsid w:val="00D745F2"/>
    <w:rsid w:val="00D75275"/>
    <w:rsid w:val="00D85EF3"/>
    <w:rsid w:val="00D94444"/>
    <w:rsid w:val="00D94F97"/>
    <w:rsid w:val="00DA0EBC"/>
    <w:rsid w:val="00DA2989"/>
    <w:rsid w:val="00DA668A"/>
    <w:rsid w:val="00DB098F"/>
    <w:rsid w:val="00DB22CE"/>
    <w:rsid w:val="00DB323C"/>
    <w:rsid w:val="00DB43F2"/>
    <w:rsid w:val="00DB579B"/>
    <w:rsid w:val="00DB5F80"/>
    <w:rsid w:val="00DC4D58"/>
    <w:rsid w:val="00DC6529"/>
    <w:rsid w:val="00DD4052"/>
    <w:rsid w:val="00DF5E3C"/>
    <w:rsid w:val="00E03E1B"/>
    <w:rsid w:val="00E2001F"/>
    <w:rsid w:val="00E26E89"/>
    <w:rsid w:val="00E33D21"/>
    <w:rsid w:val="00E50BA4"/>
    <w:rsid w:val="00E532FA"/>
    <w:rsid w:val="00E577DB"/>
    <w:rsid w:val="00E80491"/>
    <w:rsid w:val="00E85BD4"/>
    <w:rsid w:val="00E95573"/>
    <w:rsid w:val="00E97F00"/>
    <w:rsid w:val="00EA21C4"/>
    <w:rsid w:val="00EA4759"/>
    <w:rsid w:val="00EA7843"/>
    <w:rsid w:val="00EC1D8C"/>
    <w:rsid w:val="00EC327A"/>
    <w:rsid w:val="00EC5738"/>
    <w:rsid w:val="00ED0459"/>
    <w:rsid w:val="00EF0F39"/>
    <w:rsid w:val="00F16E1B"/>
    <w:rsid w:val="00F213DD"/>
    <w:rsid w:val="00F33B2F"/>
    <w:rsid w:val="00F3772B"/>
    <w:rsid w:val="00F456C2"/>
    <w:rsid w:val="00F45853"/>
    <w:rsid w:val="00F45F1C"/>
    <w:rsid w:val="00F47363"/>
    <w:rsid w:val="00F6131F"/>
    <w:rsid w:val="00F72D09"/>
    <w:rsid w:val="00F74BB4"/>
    <w:rsid w:val="00F84417"/>
    <w:rsid w:val="00F87E16"/>
    <w:rsid w:val="00F96458"/>
    <w:rsid w:val="00FA16CA"/>
    <w:rsid w:val="00FB0087"/>
    <w:rsid w:val="00FB1406"/>
    <w:rsid w:val="00FB4B83"/>
    <w:rsid w:val="00FD4416"/>
    <w:rsid w:val="00FD4610"/>
    <w:rsid w:val="00FF733E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E0E8C-5D98-4E45-A8ED-C25F4154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5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5D80"/>
  </w:style>
  <w:style w:type="paragraph" w:styleId="a5">
    <w:name w:val="footer"/>
    <w:basedOn w:val="a"/>
    <w:link w:val="a6"/>
    <w:uiPriority w:val="99"/>
    <w:unhideWhenUsed/>
    <w:rsid w:val="00A75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5D80"/>
  </w:style>
  <w:style w:type="paragraph" w:styleId="a7">
    <w:name w:val="Balloon Text"/>
    <w:basedOn w:val="a"/>
    <w:link w:val="a8"/>
    <w:uiPriority w:val="99"/>
    <w:semiHidden/>
    <w:unhideWhenUsed/>
    <w:rsid w:val="00207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077CD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D94F97"/>
    <w:rPr>
      <w:b/>
      <w:bCs/>
    </w:rPr>
  </w:style>
  <w:style w:type="paragraph" w:styleId="aa">
    <w:name w:val="List Paragraph"/>
    <w:basedOn w:val="a"/>
    <w:qFormat/>
    <w:rsid w:val="005D0A66"/>
    <w:pPr>
      <w:ind w:left="720"/>
      <w:contextualSpacing/>
    </w:pPr>
  </w:style>
  <w:style w:type="table" w:styleId="ab">
    <w:name w:val="Table Grid"/>
    <w:basedOn w:val="a1"/>
    <w:uiPriority w:val="39"/>
    <w:rsid w:val="005D0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Farida420\&#1057;&#1086;&#1094;.&#1086;&#1087;&#1088;&#1086;&#1089;%20&#1085;&#1072;%20&#1089;&#1072;&#1081;&#1090;&#1077;%20(&#1087;&#1080;&#1089;&#1100;&#1084;&#1072;)\2019\&#1054;&#1090;&#1074;&#1077;&#1090;&#1099;%20&#1085;&#1072;%20&#1074;&#1086;&#1087;&#1088;&#1086;&#1089;,%20&#1084;&#1072;&#1081;%202019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Farida420\&#1057;&#1086;&#1094;.&#1086;&#1087;&#1088;&#1086;&#1089;%20&#1085;&#1072;%20&#1089;&#1072;&#1081;&#1090;&#1077;%20(&#1087;&#1080;&#1089;&#1100;&#1084;&#1072;)\2019\&#1054;&#1090;&#1074;&#1077;&#1090;&#1099;%20&#1085;&#1072;%20&#1074;&#1086;&#1087;&#1088;&#1086;&#1089;,%20&#1084;&#1072;&#1081;%202019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Farida420\&#1057;&#1086;&#1094;.&#1086;&#1087;&#1088;&#1086;&#1089;%20&#1085;&#1072;%20&#1089;&#1072;&#1081;&#1090;&#1077;%20(&#1087;&#1080;&#1089;&#1100;&#1084;&#1072;)\2019\&#1054;&#1090;&#1074;&#1077;&#1090;&#1099;%20&#1085;&#1072;%20&#1074;&#1086;&#1087;&#1088;&#1086;&#1089;,%20&#1084;&#1072;&#1081;%202019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Farida420\&#1057;&#1086;&#1094;.&#1086;&#1087;&#1088;&#1086;&#1089;%20&#1085;&#1072;%20&#1089;&#1072;&#1081;&#1090;&#1077;%20(&#1087;&#1080;&#1089;&#1100;&#1084;&#1072;)\2019\&#1054;&#1090;&#1074;&#1077;&#1090;&#1099;%20&#1085;&#1072;%20&#1074;&#1086;&#1087;&#1088;&#1086;&#1089;,%20&#1084;&#1072;&#1081;%202019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Farida420\&#1057;&#1086;&#1094;.&#1086;&#1087;&#1088;&#1086;&#1089;%20&#1085;&#1072;%20&#1089;&#1072;&#1081;&#1090;&#1077;%20(&#1087;&#1080;&#1089;&#1100;&#1084;&#1072;)\2019\&#1054;&#1090;&#1074;&#1077;&#1090;&#1099;%20&#1085;&#1072;%20&#1074;&#1086;&#1087;&#1088;&#1086;&#1089;,%20&#1084;&#1072;&#1081;%202019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Лист1!$A$20:$A$24</c:f>
              <c:strCache>
                <c:ptCount val="5"/>
                <c:pt idx="0">
                  <c:v>Да, привлекательна</c:v>
                </c:pt>
                <c:pt idx="1">
                  <c:v>Скорее да, чем нет</c:v>
                </c:pt>
                <c:pt idx="2">
                  <c:v>Скорее нет, чем да</c:v>
                </c:pt>
                <c:pt idx="3">
                  <c:v>Нет, не привлекательна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Лист1!$B$20:$B$24</c:f>
              <c:numCache>
                <c:formatCode>0.0</c:formatCode>
                <c:ptCount val="5"/>
                <c:pt idx="0">
                  <c:v>11.76470588235294</c:v>
                </c:pt>
                <c:pt idx="1">
                  <c:v>11.76470588235294</c:v>
                </c:pt>
                <c:pt idx="2">
                  <c:v>41.17647058823529</c:v>
                </c:pt>
                <c:pt idx="3">
                  <c:v>17.647058823529413</c:v>
                </c:pt>
                <c:pt idx="4">
                  <c:v>17.647058823529413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519487912"/>
        <c:axId val="519482032"/>
      </c:barChart>
      <c:catAx>
        <c:axId val="519487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19482032"/>
        <c:crosses val="autoZero"/>
        <c:auto val="1"/>
        <c:lblAlgn val="ctr"/>
        <c:lblOffset val="100"/>
        <c:noMultiLvlLbl val="0"/>
      </c:catAx>
      <c:valAx>
        <c:axId val="519482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процентов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194879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1"/>
          <c:order val="0"/>
          <c:tx>
            <c:strRef>
              <c:f>Лист1!$J$19</c:f>
              <c:strCache>
                <c:ptCount val="1"/>
                <c:pt idx="0">
                  <c:v>Согласен</c:v>
                </c:pt>
              </c:strCache>
            </c:strRef>
          </c:tx>
          <c:spPr>
            <a:solidFill>
              <a:schemeClr val="accent6"/>
            </a:solidFill>
            <a:ln>
              <a:solidFill>
                <a:schemeClr val="accent6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Лист1!$H$20:$H$24</c:f>
              <c:strCache>
                <c:ptCount val="5"/>
                <c:pt idx="0">
                  <c:v>Правильное решение Правительства. Обложение самозанятых - это способ вывода их из тени, предполагающий уплату ими налогов</c:v>
                </c:pt>
                <c:pt idx="1">
                  <c:v>Могут уменьшиться доходы местных бюджетов, которые могут лишиться налогов, если  субъекты среднего и малого предпринимательства будут переходить на новый налоговый режим</c:v>
                </c:pt>
                <c:pt idx="2">
                  <c:v>Упрощенная регистрация позволит заниматься любимым делом в рамках закона</c:v>
                </c:pt>
                <c:pt idx="3">
                  <c:v>Доходы самозанятых не только не выйдут из тени, но и перейдут в наличный оборот (без использования электронных платежей)</c:v>
                </c:pt>
                <c:pt idx="4">
                  <c:v>Введение налога для самозанятых приведет к росту цен на их услуги (нянь, репетиторов и др.) или к снижению качества и объемов оказываемых услуг при тех же ценах</c:v>
                </c:pt>
              </c:strCache>
            </c:strRef>
          </c:cat>
          <c:val>
            <c:numRef>
              <c:f>Лист1!$J$20:$J$24</c:f>
              <c:numCache>
                <c:formatCode>0.0</c:formatCode>
                <c:ptCount val="5"/>
                <c:pt idx="0">
                  <c:v>35.294117647058826</c:v>
                </c:pt>
                <c:pt idx="1">
                  <c:v>35.294117647058826</c:v>
                </c:pt>
                <c:pt idx="2">
                  <c:v>47.058823529411761</c:v>
                </c:pt>
                <c:pt idx="3">
                  <c:v>47.058823529411761</c:v>
                </c:pt>
                <c:pt idx="4">
                  <c:v>76.470588235294116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519489088"/>
        <c:axId val="519483992"/>
      </c:barChart>
      <c:catAx>
        <c:axId val="5194890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19483992"/>
        <c:crosses val="autoZero"/>
        <c:auto val="1"/>
        <c:lblAlgn val="ctr"/>
        <c:lblOffset val="100"/>
        <c:noMultiLvlLbl val="0"/>
      </c:catAx>
      <c:valAx>
        <c:axId val="5194839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194890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процентов</a:t>
            </a:r>
          </a:p>
        </c:rich>
      </c:tx>
      <c:layout>
        <c:manualLayout>
          <c:xMode val="edge"/>
          <c:yMode val="edge"/>
          <c:x val="0.77044444444444449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5"/>
              </a:solidFill>
              <a:ln w="25400">
                <a:solidFill>
                  <a:schemeClr val="accent5"/>
                </a:solidFill>
              </a:ln>
              <a:effectLst/>
              <a:sp3d contourW="25400">
                <a:contourClr>
                  <a:schemeClr val="accent5"/>
                </a:contourClr>
              </a:sp3d>
            </c:spPr>
          </c:dPt>
          <c:dPt>
            <c:idx val="1"/>
            <c:bubble3D val="0"/>
            <c:spPr>
              <a:solidFill>
                <a:schemeClr val="accent6"/>
              </a:solidFill>
              <a:ln w="25400">
                <a:solidFill>
                  <a:schemeClr val="accent6"/>
                </a:solidFill>
              </a:ln>
              <a:effectLst/>
              <a:sp3d contourW="25400">
                <a:contourClr>
                  <a:schemeClr val="accent6"/>
                </a:contourClr>
              </a:sp3d>
            </c:spPr>
          </c:dPt>
          <c:dPt>
            <c:idx val="2"/>
            <c:bubble3D val="0"/>
            <c:spPr>
              <a:solidFill>
                <a:srgbClr val="7030A0"/>
              </a:solidFill>
              <a:ln w="25400">
                <a:solidFill>
                  <a:srgbClr val="7030A0"/>
                </a:solidFill>
              </a:ln>
              <a:effectLst/>
              <a:sp3d contourW="25400">
                <a:contourClr>
                  <a:srgbClr val="7030A0"/>
                </a:contourClr>
              </a:sp3d>
            </c:spPr>
          </c:dPt>
          <c:dPt>
            <c:idx val="3"/>
            <c:bubble3D val="0"/>
            <c:spPr>
              <a:solidFill>
                <a:srgbClr val="FF0000"/>
              </a:solidFill>
              <a:ln w="25400">
                <a:solidFill>
                  <a:srgbClr val="FF0000"/>
                </a:solidFill>
              </a:ln>
              <a:effectLst/>
              <a:sp3d contourW="25400">
                <a:contourClr>
                  <a:srgbClr val="FF0000"/>
                </a:contourClr>
              </a:sp3d>
            </c:spPr>
          </c:dPt>
          <c:dPt>
            <c:idx val="4"/>
            <c:bubble3D val="0"/>
            <c:spPr>
              <a:solidFill>
                <a:srgbClr val="FFFF00"/>
              </a:solidFill>
              <a:ln w="25400">
                <a:solidFill>
                  <a:srgbClr val="FFFF00"/>
                </a:solidFill>
              </a:ln>
              <a:effectLst/>
              <a:sp3d contourW="25400">
                <a:contourClr>
                  <a:srgbClr val="FFFF00"/>
                </a:contourClr>
              </a:sp3d>
            </c:spPr>
          </c:dPt>
          <c:dPt>
            <c:idx val="5"/>
            <c:bubble3D val="0"/>
            <c:spPr>
              <a:solidFill>
                <a:schemeClr val="accent2"/>
              </a:solidFill>
              <a:ln w="25400">
                <a:solidFill>
                  <a:schemeClr val="accent2"/>
                </a:solidFill>
              </a:ln>
              <a:effectLst/>
              <a:sp3d contourW="25400">
                <a:contourClr>
                  <a:schemeClr val="accent2"/>
                </a:contourClr>
              </a:sp3d>
            </c:spPr>
          </c:dPt>
          <c:cat>
            <c:strRef>
              <c:f>Лист1!$S$21:$S$26</c:f>
              <c:strCache>
                <c:ptCount val="6"/>
                <c:pt idx="0">
                  <c:v>Аналитическая деятельность (свой ответ) - 41,2</c:v>
                </c:pt>
                <c:pt idx="1">
                  <c:v>В области бухучета, аудита - 29,4</c:v>
                </c:pt>
                <c:pt idx="2">
                  <c:v>Государственные услуги (свой вариант) - 11,8</c:v>
                </c:pt>
                <c:pt idx="3">
                  <c:v>Государственное и муниципальное управление (свой вариант) - 11,8</c:v>
                </c:pt>
                <c:pt idx="4">
                  <c:v>Работа в магазине, киоске - 5,9</c:v>
                </c:pt>
                <c:pt idx="5">
                  <c:v>В области права - 5,9</c:v>
                </c:pt>
              </c:strCache>
            </c:strRef>
          </c:cat>
          <c:val>
            <c:numRef>
              <c:f>Лист1!$T$21:$T$26</c:f>
              <c:numCache>
                <c:formatCode>General</c:formatCode>
                <c:ptCount val="6"/>
                <c:pt idx="0">
                  <c:v>7</c:v>
                </c:pt>
                <c:pt idx="1">
                  <c:v>5</c:v>
                </c:pt>
                <c:pt idx="2">
                  <c:v>2</c:v>
                </c:pt>
                <c:pt idx="3">
                  <c:v>2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</c:ser>
        <c:ser>
          <c:idx val="1"/>
          <c:order val="1"/>
          <c:dPt>
            <c:idx val="0"/>
            <c:bubble3D val="0"/>
            <c:spPr>
              <a:solidFill>
                <a:schemeClr val="bg1">
                  <a:lumMod val="75000"/>
                </a:schemeClr>
              </a:solidFill>
              <a:ln w="25400">
                <a:solidFill>
                  <a:schemeClr val="bg1">
                    <a:lumMod val="75000"/>
                  </a:schemeClr>
                </a:solidFill>
              </a:ln>
              <a:effectLst/>
              <a:sp3d contourW="25400">
                <a:contourClr>
                  <a:schemeClr val="bg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5"/>
              </a:solidFill>
              <a:ln w="25400">
                <a:solidFill>
                  <a:schemeClr val="accent5"/>
                </a:solidFill>
              </a:ln>
              <a:effectLst/>
              <a:sp3d contourW="25400">
                <a:contourClr>
                  <a:schemeClr val="accent5"/>
                </a:contourClr>
              </a:sp3d>
            </c:spPr>
          </c:dPt>
          <c:dPt>
            <c:idx val="2"/>
            <c:bubble3D val="0"/>
            <c:spPr>
              <a:solidFill>
                <a:schemeClr val="accent6"/>
              </a:solidFill>
              <a:ln w="25400">
                <a:solidFill>
                  <a:schemeClr val="accent6"/>
                </a:solidFill>
              </a:ln>
              <a:effectLst/>
              <a:sp3d contourW="25400">
                <a:contourClr>
                  <a:schemeClr val="accent6"/>
                </a:contourClr>
              </a:sp3d>
            </c:spPr>
          </c:dPt>
          <c:dPt>
            <c:idx val="3"/>
            <c:bubble3D val="0"/>
            <c:spPr>
              <a:solidFill>
                <a:srgbClr val="FFC000"/>
              </a:solidFill>
              <a:ln w="25400">
                <a:solidFill>
                  <a:srgbClr val="FFC000"/>
                </a:solidFill>
              </a:ln>
              <a:effectLst/>
              <a:sp3d contourW="25400">
                <a:contourClr>
                  <a:srgbClr val="FFC000"/>
                </a:contourClr>
              </a:sp3d>
            </c:spPr>
          </c:dPt>
          <c:dPt>
            <c:idx val="4"/>
            <c:bubble3D val="0"/>
            <c:spPr>
              <a:solidFill>
                <a:srgbClr val="FF0000"/>
              </a:solidFill>
              <a:ln w="25400">
                <a:solidFill>
                  <a:srgbClr val="FF0000"/>
                </a:solidFill>
              </a:ln>
              <a:effectLst/>
              <a:sp3d contourW="25400">
                <a:contourClr>
                  <a:srgbClr val="FF0000"/>
                </a:contourClr>
              </a:sp3d>
            </c:spPr>
          </c:dPt>
          <c:dPt>
            <c:idx val="5"/>
            <c:bubble3D val="0"/>
            <c:spPr>
              <a:solidFill>
                <a:srgbClr val="7030A0"/>
              </a:solidFill>
              <a:ln w="25400">
                <a:solidFill>
                  <a:srgbClr val="7030A0"/>
                </a:solidFill>
              </a:ln>
              <a:effectLst/>
              <a:sp3d contourW="25400">
                <a:contourClr>
                  <a:srgbClr val="7030A0"/>
                </a:contourClr>
              </a:sp3d>
            </c:spPr>
          </c:dPt>
          <c:cat>
            <c:strRef>
              <c:f>Лист1!$S$21:$S$26</c:f>
              <c:strCache>
                <c:ptCount val="6"/>
                <c:pt idx="0">
                  <c:v>Аналитическая деятельность (свой ответ) - 41,2</c:v>
                </c:pt>
                <c:pt idx="1">
                  <c:v>В области бухучета, аудита - 29,4</c:v>
                </c:pt>
                <c:pt idx="2">
                  <c:v>Государственные услуги (свой вариант) - 11,8</c:v>
                </c:pt>
                <c:pt idx="3">
                  <c:v>Государственное и муниципальное управление (свой вариант) - 11,8</c:v>
                </c:pt>
                <c:pt idx="4">
                  <c:v>Работа в магазине, киоске - 5,9</c:v>
                </c:pt>
                <c:pt idx="5">
                  <c:v>В области права - 5,9</c:v>
                </c:pt>
              </c:strCache>
            </c:strRef>
          </c:cat>
          <c:val>
            <c:numRef>
              <c:f>Лист1!$U$21:$U$26</c:f>
              <c:numCache>
                <c:formatCode>0.0</c:formatCode>
                <c:ptCount val="6"/>
                <c:pt idx="0">
                  <c:v>41.17647058823529</c:v>
                </c:pt>
                <c:pt idx="1">
                  <c:v>29.411764705882355</c:v>
                </c:pt>
                <c:pt idx="2">
                  <c:v>11.76470588235294</c:v>
                </c:pt>
                <c:pt idx="3">
                  <c:v>11.76470588235294</c:v>
                </c:pt>
                <c:pt idx="4">
                  <c:v>5.8823529411764701</c:v>
                </c:pt>
                <c:pt idx="5">
                  <c:v>5.8823529411764701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6455314960629923"/>
          <c:y val="9.7222222222222224E-2"/>
          <c:w val="0.48277318460192475"/>
          <c:h val="0.74350320793234181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Лист1!$AA$28:$AA$33</c:f>
              <c:strCache>
                <c:ptCount val="6"/>
                <c:pt idx="0">
                  <c:v>Нет ответа</c:v>
                </c:pt>
                <c:pt idx="1">
                  <c:v>Продаю излишки урожая (продукции) с личного приусадебного хозяйства</c:v>
                </c:pt>
                <c:pt idx="2">
                  <c:v>Увлечение (хобби) стало приносить доход</c:v>
                </c:pt>
                <c:pt idx="3">
                  <c:v>Представилась возможность дополнительно заработать</c:v>
                </c:pt>
                <c:pt idx="4">
                  <c:v>Не было возможности трудоустроиться официально</c:v>
                </c:pt>
                <c:pt idx="5">
                  <c:v>Недостаточный заработок на официальном месте работы</c:v>
                </c:pt>
              </c:strCache>
            </c:strRef>
          </c:cat>
          <c:val>
            <c:numRef>
              <c:f>Лист1!$AB$28:$AB$33</c:f>
              <c:numCache>
                <c:formatCode>0.0</c:formatCode>
                <c:ptCount val="6"/>
                <c:pt idx="0" formatCode="General">
                  <c:v>16.7</c:v>
                </c:pt>
                <c:pt idx="1">
                  <c:v>16.7</c:v>
                </c:pt>
                <c:pt idx="2">
                  <c:v>16.7</c:v>
                </c:pt>
                <c:pt idx="3">
                  <c:v>33.299999999999997</c:v>
                </c:pt>
                <c:pt idx="4">
                  <c:v>50</c:v>
                </c:pt>
                <c:pt idx="5">
                  <c:v>50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519496144"/>
        <c:axId val="519496536"/>
      </c:barChart>
      <c:catAx>
        <c:axId val="5194961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19496536"/>
        <c:crosses val="autoZero"/>
        <c:auto val="1"/>
        <c:lblAlgn val="ctr"/>
        <c:lblOffset val="100"/>
        <c:noMultiLvlLbl val="0"/>
      </c:catAx>
      <c:valAx>
        <c:axId val="5194965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процентов</a:t>
                </a:r>
              </a:p>
            </c:rich>
          </c:tx>
          <c:layout>
            <c:manualLayout>
              <c:xMode val="edge"/>
              <c:yMode val="edge"/>
              <c:x val="0.81465507436570428"/>
              <c:y val="4.5347039953339184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194961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процентов</a:t>
            </a:r>
          </a:p>
        </c:rich>
      </c:tx>
      <c:layout>
        <c:manualLayout>
          <c:xMode val="edge"/>
          <c:yMode val="edge"/>
          <c:x val="0.75377777777777788"/>
          <c:y val="5.09259259259259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42839228158369452"/>
          <c:y val="1.759259259259258E-2"/>
          <c:w val="0.20836218762556957"/>
          <c:h val="0.44421660834062399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/>
              </a:solidFill>
              <a:ln w="19050">
                <a:solidFill>
                  <a:schemeClr val="accent6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accent5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 w="19050">
                <a:solidFill>
                  <a:schemeClr val="accent5">
                    <a:lumMod val="60000"/>
                    <a:lumOff val="40000"/>
                  </a:schemeClr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19050">
                <a:solidFill>
                  <a:schemeClr val="accent6">
                    <a:lumMod val="60000"/>
                    <a:lumOff val="40000"/>
                  </a:schemeClr>
                </a:solidFill>
              </a:ln>
              <a:effectLst/>
            </c:spPr>
          </c:dPt>
          <c:dLbls>
            <c:dLbl>
              <c:idx val="2"/>
              <c:layout>
                <c:manualLayout>
                  <c:x val="2.8986808245060572E-2"/>
                  <c:y val="5.208333333333333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3418229073157387E-2"/>
                  <c:y val="1.967592592592592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Лист1!$AE$24:$AE$27</c:f>
              <c:strCache>
                <c:ptCount val="4"/>
                <c:pt idx="0">
                  <c:v>Денег хватает только для приобретения необходимых продуктов и одежды, но покупка товаров длительного пользования вызывает затруднение </c:v>
                </c:pt>
                <c:pt idx="1">
                  <c:v>Покупка товаров длительного пользования (телевизор, холодильник) не вызывает затруднений, но на дачу, машину и пр. придется копить</c:v>
                </c:pt>
                <c:pt idx="2">
                  <c:v>Денег сейчас не хватает даже на покупку продуктов питания</c:v>
                </c:pt>
                <c:pt idx="3">
                  <c:v>Можем себе позволить купить товары длительного пользования, такие как машина, дача</c:v>
                </c:pt>
              </c:strCache>
            </c:strRef>
          </c:cat>
          <c:val>
            <c:numRef>
              <c:f>Лист1!$AG$24:$AG$27</c:f>
              <c:numCache>
                <c:formatCode>0.0</c:formatCode>
                <c:ptCount val="4"/>
                <c:pt idx="0">
                  <c:v>64.705882352941174</c:v>
                </c:pt>
                <c:pt idx="1">
                  <c:v>23.52941176470588</c:v>
                </c:pt>
                <c:pt idx="2">
                  <c:v>5.8823529411764701</c:v>
                </c:pt>
                <c:pt idx="3">
                  <c:v>5.8823529411764701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FA528-4E78-4B69-802E-5A60B08F9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4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Фарида Назиповна</dc:creator>
  <cp:keywords/>
  <dc:description/>
  <cp:lastModifiedBy>Степанова Фарида Назиповна</cp:lastModifiedBy>
  <cp:revision>85</cp:revision>
  <cp:lastPrinted>2019-05-30T11:27:00Z</cp:lastPrinted>
  <dcterms:created xsi:type="dcterms:W3CDTF">2019-05-29T13:18:00Z</dcterms:created>
  <dcterms:modified xsi:type="dcterms:W3CDTF">2019-05-30T15:51:00Z</dcterms:modified>
</cp:coreProperties>
</file>