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A2" w:rsidRDefault="00747F0A" w:rsidP="00747F0A">
      <w:pPr>
        <w:tabs>
          <w:tab w:val="left" w:pos="142"/>
        </w:tabs>
        <w:spacing w:after="0" w:line="276" w:lineRule="auto"/>
        <w:ind w:left="-1134" w:right="-567"/>
        <w:jc w:val="center"/>
        <w:rPr>
          <w:rFonts w:ascii="Times New Roman" w:hAnsi="Times New Roman"/>
          <w:b/>
          <w:sz w:val="28"/>
          <w:szCs w:val="28"/>
        </w:rPr>
        <w:sectPr w:rsidR="00C07CA2" w:rsidSect="00747F0A">
          <w:headerReference w:type="default" r:id="rId8"/>
          <w:footerReference w:type="default" r:id="rId9"/>
          <w:pgSz w:w="11906" w:h="16838"/>
          <w:pgMar w:top="142" w:right="567" w:bottom="142" w:left="1134" w:header="709" w:footer="709" w:gutter="0"/>
          <w:cols w:space="708"/>
          <w:titlePg/>
          <w:docGrid w:linePitch="360"/>
        </w:sectPr>
      </w:pPr>
      <w:r w:rsidRPr="00747F0A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486650" cy="10638790"/>
            <wp:effectExtent l="0" t="0" r="0" b="0"/>
            <wp:docPr id="1" name="Рисунок 1" descr="C:\Users\gazizulli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zizullin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63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E44" w:rsidRDefault="00C07CA2" w:rsidP="00031B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C07CA2" w:rsidRDefault="00C07CA2" w:rsidP="00C07CA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</w:t>
      </w:r>
    </w:p>
    <w:sdt>
      <w:sdtPr>
        <w:id w:val="-13584341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F292A" w:rsidRPr="005F292A" w:rsidRDefault="00C1028F">
          <w:pPr>
            <w:pStyle w:val="11"/>
            <w:tabs>
              <w:tab w:val="left" w:pos="440"/>
              <w:tab w:val="righ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0430074" w:history="1">
            <w:r w:rsidR="005F292A" w:rsidRPr="005F292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5F292A" w:rsidRPr="005F292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F292A" w:rsidRPr="005F292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Общие сведения</w: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_Toc110430074 \h </w:instrTex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292A" w:rsidRPr="005F292A" w:rsidRDefault="003450A9">
          <w:pPr>
            <w:pStyle w:val="11"/>
            <w:tabs>
              <w:tab w:val="left" w:pos="440"/>
              <w:tab w:val="righ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0430075" w:history="1">
            <w:r w:rsidR="005F292A" w:rsidRPr="005F292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5F292A" w:rsidRPr="005F292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F292A" w:rsidRPr="005F292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Расчет значений показателей</w: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_Toc110430075 \h </w:instrTex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292A" w:rsidRPr="005F292A" w:rsidRDefault="003450A9">
          <w:pPr>
            <w:pStyle w:val="11"/>
            <w:tabs>
              <w:tab w:val="righ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0430076" w:history="1">
            <w:r w:rsidR="005F292A" w:rsidRPr="005F292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2.1. Нормирование значений показателей</w: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_Toc110430076 \h </w:instrTex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292A" w:rsidRPr="005F292A" w:rsidRDefault="003450A9">
          <w:pPr>
            <w:pStyle w:val="11"/>
            <w:tabs>
              <w:tab w:val="righ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0430077" w:history="1">
            <w:r w:rsidR="005F292A" w:rsidRPr="005F292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2.2. Применение весовых коэффициентов</w: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_Toc110430077 \h </w:instrTex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F292A" w:rsidRPr="005F292A" w:rsidRDefault="003450A9">
          <w:pPr>
            <w:pStyle w:val="11"/>
            <w:tabs>
              <w:tab w:val="left" w:pos="440"/>
              <w:tab w:val="right" w:pos="1019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10430078" w:history="1">
            <w:r w:rsidR="005F292A" w:rsidRPr="005F292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5F292A" w:rsidRPr="005F292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F292A" w:rsidRPr="005F292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Расчет интегрального индекса рейтинга</w: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_Toc110430078 \h </w:instrTex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F292A" w:rsidRPr="005F29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1028F" w:rsidRDefault="00C1028F">
          <w:r>
            <w:rPr>
              <w:b/>
              <w:bCs/>
            </w:rPr>
            <w:fldChar w:fldCharType="end"/>
          </w:r>
        </w:p>
      </w:sdtContent>
    </w:sdt>
    <w:p w:rsidR="00C07CA2" w:rsidRPr="00784E44" w:rsidRDefault="00C07CA2" w:rsidP="00C07C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E44" w:rsidRDefault="00784E44" w:rsidP="00AB13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CB9" w:rsidRDefault="00FB7CB9" w:rsidP="00D5219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028F" w:rsidRDefault="00C1028F" w:rsidP="00D5219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4F55" w:rsidRDefault="00004F55" w:rsidP="00D5219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52191" w:rsidRPr="00C1028F" w:rsidRDefault="00D52191" w:rsidP="00C1028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10430074"/>
      <w:r w:rsidRPr="00C1028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Общие сведения</w:t>
      </w:r>
      <w:bookmarkEnd w:id="1"/>
    </w:p>
    <w:p w:rsidR="00D52191" w:rsidRDefault="00D52191" w:rsidP="00D521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517" w:rsidRPr="00333517" w:rsidRDefault="003953A7" w:rsidP="00A97B8A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C73DC8">
        <w:rPr>
          <w:rFonts w:ascii="Times New Roman" w:hAnsi="Times New Roman" w:cs="Times New Roman"/>
          <w:sz w:val="28"/>
          <w:szCs w:val="28"/>
        </w:rPr>
        <w:t>Методика по расчету р</w:t>
      </w:r>
      <w:r w:rsidRPr="00242F0C">
        <w:rPr>
          <w:rFonts w:ascii="Times New Roman" w:hAnsi="Times New Roman" w:cs="Times New Roman"/>
          <w:sz w:val="28"/>
          <w:szCs w:val="28"/>
        </w:rPr>
        <w:t>ейтинг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2F0C">
        <w:rPr>
          <w:rFonts w:ascii="Times New Roman" w:hAnsi="Times New Roman" w:cs="Times New Roman"/>
          <w:sz w:val="28"/>
          <w:szCs w:val="28"/>
        </w:rPr>
        <w:t xml:space="preserve"> исполнительных органов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F3AEB">
        <w:rPr>
          <w:rFonts w:ascii="Times New Roman" w:hAnsi="Times New Roman" w:cs="Times New Roman"/>
          <w:sz w:val="28"/>
          <w:szCs w:val="28"/>
        </w:rPr>
        <w:t>далее – ИОГВ РТ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42F0C">
        <w:rPr>
          <w:rFonts w:ascii="Times New Roman" w:hAnsi="Times New Roman" w:cs="Times New Roman"/>
          <w:sz w:val="28"/>
          <w:szCs w:val="28"/>
        </w:rPr>
        <w:t xml:space="preserve"> с использованием системы показателей Государственного задания на управление</w:t>
      </w:r>
      <w:r w:rsidR="00A97B8A">
        <w:rPr>
          <w:rFonts w:ascii="Times New Roman" w:hAnsi="Times New Roman" w:cs="Times New Roman"/>
          <w:sz w:val="28"/>
          <w:szCs w:val="28"/>
        </w:rPr>
        <w:t xml:space="preserve"> (далее – Методика) </w:t>
      </w:r>
      <w:r w:rsidRPr="00494636">
        <w:rPr>
          <w:rFonts w:ascii="Times New Roman" w:hAnsi="Times New Roman" w:cs="Times New Roman"/>
          <w:sz w:val="28"/>
          <w:szCs w:val="28"/>
        </w:rPr>
        <w:t>разработан</w:t>
      </w:r>
      <w:r w:rsidRPr="002F3AEB">
        <w:rPr>
          <w:rFonts w:ascii="Times New Roman" w:hAnsi="Times New Roman" w:cs="Times New Roman"/>
          <w:sz w:val="28"/>
          <w:szCs w:val="28"/>
        </w:rPr>
        <w:t>а</w:t>
      </w:r>
      <w:r w:rsidRPr="00494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3953A7">
        <w:rPr>
          <w:rFonts w:ascii="Times New Roman" w:hAnsi="Times New Roman" w:cs="Times New Roman"/>
          <w:sz w:val="28"/>
          <w:szCs w:val="28"/>
        </w:rPr>
        <w:t>п</w:t>
      </w:r>
      <w:r w:rsidR="00333517" w:rsidRPr="003953A7">
        <w:rPr>
          <w:rFonts w:ascii="Times New Roman" w:hAnsi="Times New Roman" w:cs="Times New Roman"/>
          <w:sz w:val="28"/>
          <w:szCs w:val="28"/>
        </w:rPr>
        <w:t xml:space="preserve">.9 </w:t>
      </w:r>
      <w:proofErr w:type="spellStart"/>
      <w:r w:rsidR="00333517" w:rsidRPr="003953A7">
        <w:rPr>
          <w:rFonts w:ascii="Times New Roman" w:hAnsi="Times New Roman" w:cs="Times New Roman"/>
          <w:sz w:val="28"/>
          <w:szCs w:val="28"/>
        </w:rPr>
        <w:t>Проблемника</w:t>
      </w:r>
      <w:proofErr w:type="spellEnd"/>
      <w:r w:rsidR="00333517" w:rsidRPr="003953A7">
        <w:rPr>
          <w:rFonts w:ascii="Times New Roman" w:hAnsi="Times New Roman" w:cs="Times New Roman"/>
          <w:sz w:val="28"/>
          <w:szCs w:val="28"/>
        </w:rPr>
        <w:t xml:space="preserve"> ГБУ «ЦЭСИ РТ» на 2021 год: «Разработка методики по расчету рейтинга исполнительных органов государственной власти Республики Татарстан с использованием системы показателей из Государственного задания на управление»</w:t>
      </w:r>
      <w:r w:rsidR="00A97B8A">
        <w:rPr>
          <w:rFonts w:ascii="Times New Roman" w:hAnsi="Times New Roman" w:cs="Times New Roman"/>
          <w:sz w:val="28"/>
          <w:szCs w:val="28"/>
        </w:rPr>
        <w:t>.</w:t>
      </w:r>
    </w:p>
    <w:p w:rsidR="003953A7" w:rsidRDefault="003953A7" w:rsidP="003D7F08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применяется при формировании рейтинга ИОГВ</w:t>
      </w:r>
      <w:r w:rsidR="00270FA4">
        <w:rPr>
          <w:rFonts w:ascii="Times New Roman" w:hAnsi="Times New Roman" w:cs="Times New Roman"/>
          <w:sz w:val="28"/>
          <w:szCs w:val="28"/>
        </w:rPr>
        <w:t xml:space="preserve"> РТ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оценки эффективности их деятельности.</w:t>
      </w:r>
    </w:p>
    <w:p w:rsidR="007F4FF8" w:rsidRDefault="003953A7" w:rsidP="003D7F08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D60A9B">
        <w:rPr>
          <w:rFonts w:ascii="Times New Roman" w:hAnsi="Times New Roman" w:cs="Times New Roman"/>
          <w:sz w:val="28"/>
          <w:szCs w:val="28"/>
        </w:rPr>
        <w:t xml:space="preserve"> </w:t>
      </w:r>
      <w:r w:rsidR="00E6386A">
        <w:rPr>
          <w:rFonts w:ascii="Times New Roman" w:hAnsi="Times New Roman" w:cs="Times New Roman"/>
          <w:sz w:val="28"/>
          <w:szCs w:val="28"/>
        </w:rPr>
        <w:t>постановлению Кабинета Министров Республики,</w:t>
      </w:r>
      <w:r w:rsidR="00D60A9B">
        <w:rPr>
          <w:rFonts w:ascii="Times New Roman" w:hAnsi="Times New Roman" w:cs="Times New Roman"/>
          <w:sz w:val="28"/>
          <w:szCs w:val="28"/>
        </w:rPr>
        <w:t xml:space="preserve"> Татарстан от 31.12.2021 № 1199 </w:t>
      </w:r>
      <w:r w:rsidR="00D60A9B" w:rsidRPr="00D60A9B">
        <w:rPr>
          <w:rFonts w:ascii="Times New Roman" w:hAnsi="Times New Roman" w:cs="Times New Roman"/>
          <w:i/>
          <w:sz w:val="28"/>
          <w:szCs w:val="28"/>
        </w:rPr>
        <w:t xml:space="preserve">«Об утверждении порядка разработки, реализации и оценки эффективности государственных программ </w:t>
      </w:r>
      <w:r w:rsidR="00E6386A">
        <w:rPr>
          <w:rFonts w:ascii="Times New Roman" w:hAnsi="Times New Roman" w:cs="Times New Roman"/>
          <w:i/>
          <w:sz w:val="28"/>
          <w:szCs w:val="28"/>
        </w:rPr>
        <w:t>Р</w:t>
      </w:r>
      <w:r w:rsidR="00D60A9B" w:rsidRPr="00D60A9B">
        <w:rPr>
          <w:rFonts w:ascii="Times New Roman" w:hAnsi="Times New Roman" w:cs="Times New Roman"/>
          <w:i/>
          <w:sz w:val="28"/>
          <w:szCs w:val="28"/>
        </w:rPr>
        <w:t>еспублики Татарстан и ведомственных целевых программ, и перечня государственных программ Республики Татарстан</w:t>
      </w:r>
      <w:r w:rsidR="00E6386A">
        <w:rPr>
          <w:rFonts w:ascii="Times New Roman" w:hAnsi="Times New Roman" w:cs="Times New Roman"/>
          <w:i/>
          <w:sz w:val="28"/>
          <w:szCs w:val="28"/>
        </w:rPr>
        <w:t>»</w:t>
      </w:r>
      <w:r w:rsidR="00E638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2D52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включаемые в </w:t>
      </w:r>
      <w:r w:rsidR="00E6386A">
        <w:rPr>
          <w:rFonts w:ascii="Times New Roman" w:hAnsi="Times New Roman" w:cs="Times New Roman"/>
          <w:sz w:val="28"/>
          <w:szCs w:val="28"/>
        </w:rPr>
        <w:t>г</w:t>
      </w:r>
      <w:r w:rsidR="002D524D">
        <w:rPr>
          <w:rFonts w:ascii="Times New Roman" w:hAnsi="Times New Roman" w:cs="Times New Roman"/>
          <w:sz w:val="28"/>
          <w:szCs w:val="28"/>
        </w:rPr>
        <w:t>о</w:t>
      </w:r>
      <w:r w:rsidR="00E6386A">
        <w:rPr>
          <w:rFonts w:ascii="Times New Roman" w:hAnsi="Times New Roman" w:cs="Times New Roman"/>
          <w:sz w:val="28"/>
          <w:szCs w:val="28"/>
        </w:rPr>
        <w:t>сударственное задание</w:t>
      </w:r>
      <w:r>
        <w:rPr>
          <w:rFonts w:ascii="Times New Roman" w:hAnsi="Times New Roman" w:cs="Times New Roman"/>
          <w:sz w:val="28"/>
          <w:szCs w:val="28"/>
        </w:rPr>
        <w:t xml:space="preserve"> на управлени</w:t>
      </w:r>
      <w:r w:rsidR="002D524D">
        <w:rPr>
          <w:rFonts w:ascii="Times New Roman" w:hAnsi="Times New Roman" w:cs="Times New Roman"/>
          <w:sz w:val="28"/>
          <w:szCs w:val="28"/>
        </w:rPr>
        <w:t>е для ИОГВ</w:t>
      </w:r>
      <w:r w:rsidR="00E6386A">
        <w:rPr>
          <w:rFonts w:ascii="Times New Roman" w:hAnsi="Times New Roman" w:cs="Times New Roman"/>
          <w:sz w:val="28"/>
          <w:szCs w:val="28"/>
        </w:rPr>
        <w:t xml:space="preserve"> РТ</w:t>
      </w:r>
      <w:r w:rsidR="002D52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дел</w:t>
      </w:r>
      <w:r w:rsidR="002D524D">
        <w:rPr>
          <w:rFonts w:ascii="Times New Roman" w:hAnsi="Times New Roman" w:cs="Times New Roman"/>
          <w:sz w:val="28"/>
          <w:szCs w:val="28"/>
        </w:rPr>
        <w:t>я</w:t>
      </w:r>
      <w:r w:rsidR="007F4FF8">
        <w:rPr>
          <w:rFonts w:ascii="Times New Roman" w:hAnsi="Times New Roman" w:cs="Times New Roman"/>
          <w:sz w:val="28"/>
          <w:szCs w:val="28"/>
        </w:rPr>
        <w:t>тся на два</w:t>
      </w:r>
      <w:r>
        <w:rPr>
          <w:rFonts w:ascii="Times New Roman" w:hAnsi="Times New Roman" w:cs="Times New Roman"/>
          <w:sz w:val="28"/>
          <w:szCs w:val="28"/>
        </w:rPr>
        <w:t xml:space="preserve"> типа: </w:t>
      </w:r>
      <w:r w:rsidRPr="00A505D1">
        <w:rPr>
          <w:rFonts w:ascii="Times New Roman" w:hAnsi="Times New Roman" w:cs="Times New Roman"/>
          <w:b/>
          <w:sz w:val="28"/>
          <w:szCs w:val="28"/>
        </w:rPr>
        <w:t>функциональные</w:t>
      </w:r>
      <w:r w:rsidR="00A505D1">
        <w:rPr>
          <w:rFonts w:ascii="Times New Roman" w:hAnsi="Times New Roman" w:cs="Times New Roman"/>
          <w:b/>
          <w:sz w:val="28"/>
          <w:szCs w:val="28"/>
        </w:rPr>
        <w:t xml:space="preserve"> (ключевые)</w:t>
      </w:r>
      <w:r w:rsidRPr="00A505D1">
        <w:rPr>
          <w:rFonts w:ascii="Times New Roman" w:hAnsi="Times New Roman" w:cs="Times New Roman"/>
          <w:b/>
          <w:sz w:val="28"/>
          <w:szCs w:val="28"/>
        </w:rPr>
        <w:t xml:space="preserve"> и процессные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4FF8" w:rsidRPr="007F4FF8" w:rsidRDefault="007F4FF8" w:rsidP="007F4FF8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F4FF8">
        <w:rPr>
          <w:rFonts w:ascii="Times New Roman" w:hAnsi="Times New Roman" w:cs="Times New Roman"/>
          <w:sz w:val="28"/>
          <w:szCs w:val="28"/>
        </w:rPr>
        <w:t>ункциональный</w:t>
      </w:r>
      <w:r>
        <w:rPr>
          <w:rFonts w:ascii="Times New Roman" w:hAnsi="Times New Roman" w:cs="Times New Roman"/>
          <w:sz w:val="28"/>
          <w:szCs w:val="28"/>
        </w:rPr>
        <w:t xml:space="preserve"> (ключевой)</w:t>
      </w:r>
      <w:r w:rsidRPr="007F4FF8">
        <w:rPr>
          <w:rFonts w:ascii="Times New Roman" w:hAnsi="Times New Roman" w:cs="Times New Roman"/>
          <w:sz w:val="28"/>
          <w:szCs w:val="28"/>
        </w:rPr>
        <w:t xml:space="preserve"> показатель эффективности - показатель, характеристика которого в конкретный момент времени позволяет оценить достижение прогнозных и плановых значений по закрепленной за ИОГВ области государственного управления.</w:t>
      </w:r>
    </w:p>
    <w:p w:rsidR="007F4FF8" w:rsidRDefault="007F4FF8" w:rsidP="007F4FF8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F4FF8">
        <w:rPr>
          <w:rFonts w:ascii="Times New Roman" w:hAnsi="Times New Roman" w:cs="Times New Roman"/>
          <w:sz w:val="28"/>
          <w:szCs w:val="28"/>
        </w:rPr>
        <w:t>роцессный показатель эффективности - показатель, характеризующий объем своевременно и качественно выполненных работ в рамках конкретного процесс</w:t>
      </w:r>
      <w:r>
        <w:rPr>
          <w:rFonts w:ascii="Times New Roman" w:hAnsi="Times New Roman" w:cs="Times New Roman"/>
          <w:sz w:val="28"/>
          <w:szCs w:val="28"/>
        </w:rPr>
        <w:t>а реализации поставленных задач.</w:t>
      </w:r>
    </w:p>
    <w:p w:rsidR="007F4FF8" w:rsidRDefault="003953A7" w:rsidP="007F4FF8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FF8">
        <w:rPr>
          <w:rFonts w:ascii="Times New Roman" w:hAnsi="Times New Roman" w:cs="Times New Roman"/>
          <w:sz w:val="28"/>
          <w:szCs w:val="28"/>
        </w:rPr>
        <w:t>П</w:t>
      </w:r>
      <w:r w:rsidR="007F4FF8" w:rsidRPr="007F4FF8">
        <w:rPr>
          <w:rFonts w:ascii="Times New Roman" w:hAnsi="Times New Roman" w:cs="Times New Roman"/>
          <w:sz w:val="28"/>
          <w:szCs w:val="28"/>
        </w:rPr>
        <w:t>оказатели эффективности - показатели, характеризующие и придающие количественную определенность в закрепленной за ИОГВ</w:t>
      </w:r>
      <w:r w:rsidR="007F4FF8">
        <w:rPr>
          <w:rFonts w:ascii="Times New Roman" w:hAnsi="Times New Roman" w:cs="Times New Roman"/>
          <w:sz w:val="28"/>
          <w:szCs w:val="28"/>
        </w:rPr>
        <w:t xml:space="preserve"> РТ</w:t>
      </w:r>
      <w:r w:rsidR="007F4FF8" w:rsidRPr="007F4FF8">
        <w:rPr>
          <w:rFonts w:ascii="Times New Roman" w:hAnsi="Times New Roman" w:cs="Times New Roman"/>
          <w:sz w:val="28"/>
          <w:szCs w:val="28"/>
        </w:rPr>
        <w:t xml:space="preserve"> области государственного управления и установленные государственным заданием на управление в качестве критериев оценки эффективности деятельности ИОГВ</w:t>
      </w:r>
      <w:r w:rsidR="007F4FF8">
        <w:rPr>
          <w:rFonts w:ascii="Times New Roman" w:hAnsi="Times New Roman" w:cs="Times New Roman"/>
          <w:sz w:val="28"/>
          <w:szCs w:val="28"/>
        </w:rPr>
        <w:t xml:space="preserve"> РТ</w:t>
      </w:r>
      <w:r w:rsidR="007F4FF8" w:rsidRPr="007F4FF8">
        <w:rPr>
          <w:rFonts w:ascii="Times New Roman" w:hAnsi="Times New Roman" w:cs="Times New Roman"/>
          <w:sz w:val="28"/>
          <w:szCs w:val="28"/>
        </w:rPr>
        <w:t xml:space="preserve"> в данной обла</w:t>
      </w:r>
      <w:r w:rsidR="007F4FF8">
        <w:rPr>
          <w:rFonts w:ascii="Times New Roman" w:hAnsi="Times New Roman" w:cs="Times New Roman"/>
          <w:sz w:val="28"/>
          <w:szCs w:val="28"/>
        </w:rPr>
        <w:t>сти государственного управления.</w:t>
      </w:r>
    </w:p>
    <w:p w:rsidR="008E401F" w:rsidRDefault="002933F0" w:rsidP="003D7F08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Каждый из </w:t>
      </w:r>
      <w:r w:rsidR="00FC2D08">
        <w:rPr>
          <w:rFonts w:ascii="Times New Roman" w:hAnsi="Times New Roman" w:cs="Times New Roman"/>
          <w:sz w:val="28"/>
          <w:szCs w:val="28"/>
        </w:rPr>
        <w:t xml:space="preserve">первых двух из перечисленных выше типов </w:t>
      </w:r>
      <w:r>
        <w:rPr>
          <w:rFonts w:ascii="Times New Roman" w:hAnsi="Times New Roman" w:cs="Times New Roman"/>
          <w:sz w:val="28"/>
          <w:szCs w:val="28"/>
        </w:rPr>
        <w:t>имеет определенную значимость</w:t>
      </w:r>
      <w:r w:rsidR="002D524D">
        <w:rPr>
          <w:rFonts w:ascii="Times New Roman" w:hAnsi="Times New Roman" w:cs="Times New Roman"/>
          <w:sz w:val="28"/>
          <w:szCs w:val="28"/>
        </w:rPr>
        <w:t xml:space="preserve"> (вес)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36336E">
        <w:rPr>
          <w:rFonts w:ascii="Times New Roman" w:hAnsi="Times New Roman" w:cs="Times New Roman"/>
          <w:sz w:val="28"/>
          <w:szCs w:val="28"/>
        </w:rPr>
        <w:t>отдельного</w:t>
      </w:r>
      <w:r>
        <w:rPr>
          <w:rFonts w:ascii="Times New Roman" w:hAnsi="Times New Roman" w:cs="Times New Roman"/>
          <w:sz w:val="28"/>
          <w:szCs w:val="28"/>
        </w:rPr>
        <w:t xml:space="preserve"> ИОГВ РТ в зависимости</w:t>
      </w:r>
      <w:r w:rsidR="008E401F">
        <w:rPr>
          <w:rFonts w:ascii="Times New Roman" w:hAnsi="Times New Roman" w:cs="Times New Roman"/>
          <w:sz w:val="28"/>
          <w:szCs w:val="28"/>
        </w:rPr>
        <w:t xml:space="preserve"> от поставленных для него целей и задач на конкретный период времени. Кроме того, каждый из показателей, даже если </w:t>
      </w:r>
      <w:r w:rsidR="00DC371D">
        <w:rPr>
          <w:rFonts w:ascii="Times New Roman" w:hAnsi="Times New Roman" w:cs="Times New Roman"/>
          <w:sz w:val="28"/>
          <w:szCs w:val="28"/>
        </w:rPr>
        <w:t>он включается в государственное</w:t>
      </w:r>
      <w:r w:rsidR="008E401F">
        <w:rPr>
          <w:rFonts w:ascii="Times New Roman" w:hAnsi="Times New Roman" w:cs="Times New Roman"/>
          <w:sz w:val="28"/>
          <w:szCs w:val="28"/>
        </w:rPr>
        <w:t xml:space="preserve"> задание на управление нескольк</w:t>
      </w:r>
      <w:r w:rsidR="002D524D">
        <w:rPr>
          <w:rFonts w:ascii="Times New Roman" w:hAnsi="Times New Roman" w:cs="Times New Roman"/>
          <w:sz w:val="28"/>
          <w:szCs w:val="28"/>
        </w:rPr>
        <w:t>их</w:t>
      </w:r>
      <w:r w:rsidR="008E401F">
        <w:rPr>
          <w:rFonts w:ascii="Times New Roman" w:hAnsi="Times New Roman" w:cs="Times New Roman"/>
          <w:sz w:val="28"/>
          <w:szCs w:val="28"/>
        </w:rPr>
        <w:t xml:space="preserve"> ИОГВ РТ, его </w:t>
      </w:r>
      <w:r w:rsidR="00DC371D">
        <w:rPr>
          <w:rFonts w:ascii="Times New Roman" w:hAnsi="Times New Roman" w:cs="Times New Roman"/>
          <w:sz w:val="28"/>
          <w:szCs w:val="28"/>
        </w:rPr>
        <w:t xml:space="preserve">весовое </w:t>
      </w:r>
      <w:r w:rsidR="008E401F">
        <w:rPr>
          <w:rFonts w:ascii="Times New Roman" w:hAnsi="Times New Roman" w:cs="Times New Roman"/>
          <w:sz w:val="28"/>
          <w:szCs w:val="28"/>
        </w:rPr>
        <w:t>значение может быть различным по сформулированной выше причине. Программирование значений показателей осуществляется Мин</w:t>
      </w:r>
      <w:r w:rsidR="00A97B8A">
        <w:rPr>
          <w:rFonts w:ascii="Times New Roman" w:hAnsi="Times New Roman" w:cs="Times New Roman"/>
          <w:sz w:val="28"/>
          <w:szCs w:val="28"/>
        </w:rPr>
        <w:t xml:space="preserve">истерством экономики Республики </w:t>
      </w:r>
      <w:r w:rsidR="008E401F">
        <w:rPr>
          <w:rFonts w:ascii="Times New Roman" w:hAnsi="Times New Roman" w:cs="Times New Roman"/>
          <w:sz w:val="28"/>
          <w:szCs w:val="28"/>
        </w:rPr>
        <w:t>Т</w:t>
      </w:r>
      <w:r w:rsidR="00A97B8A">
        <w:rPr>
          <w:rFonts w:ascii="Times New Roman" w:hAnsi="Times New Roman" w:cs="Times New Roman"/>
          <w:sz w:val="28"/>
          <w:szCs w:val="28"/>
        </w:rPr>
        <w:t>атарстан</w:t>
      </w:r>
      <w:r w:rsidR="008E401F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="008E401F">
        <w:rPr>
          <w:rFonts w:ascii="Times New Roman" w:hAnsi="Times New Roman" w:cs="Times New Roman"/>
          <w:sz w:val="28"/>
          <w:szCs w:val="28"/>
        </w:rPr>
        <w:t>макрорегулятором</w:t>
      </w:r>
      <w:proofErr w:type="spellEnd"/>
      <w:r w:rsidR="008E401F">
        <w:rPr>
          <w:rFonts w:ascii="Times New Roman" w:hAnsi="Times New Roman" w:cs="Times New Roman"/>
          <w:sz w:val="28"/>
          <w:szCs w:val="28"/>
        </w:rPr>
        <w:t>, за которым закрепл</w:t>
      </w:r>
      <w:r w:rsidR="002D524D">
        <w:rPr>
          <w:rFonts w:ascii="Times New Roman" w:hAnsi="Times New Roman" w:cs="Times New Roman"/>
          <w:sz w:val="28"/>
          <w:szCs w:val="28"/>
        </w:rPr>
        <w:t>ены</w:t>
      </w:r>
      <w:r w:rsidR="008E401F">
        <w:rPr>
          <w:rFonts w:ascii="Times New Roman" w:hAnsi="Times New Roman" w:cs="Times New Roman"/>
          <w:sz w:val="28"/>
          <w:szCs w:val="28"/>
        </w:rPr>
        <w:t xml:space="preserve"> полномочия по прогнозированию и планированию развития </w:t>
      </w:r>
      <w:r w:rsidR="002D524D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="008E401F">
        <w:rPr>
          <w:rFonts w:ascii="Times New Roman" w:hAnsi="Times New Roman" w:cs="Times New Roman"/>
          <w:sz w:val="28"/>
          <w:szCs w:val="28"/>
        </w:rPr>
        <w:t>секторов экономики и социал</w:t>
      </w:r>
      <w:r w:rsidR="00DC371D">
        <w:rPr>
          <w:rFonts w:ascii="Times New Roman" w:hAnsi="Times New Roman" w:cs="Times New Roman"/>
          <w:sz w:val="28"/>
          <w:szCs w:val="28"/>
        </w:rPr>
        <w:t>ьной сферы</w:t>
      </w:r>
      <w:r w:rsidR="008E401F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 республики в целом. </w:t>
      </w:r>
    </w:p>
    <w:p w:rsidR="00494636" w:rsidRPr="006F4BE4" w:rsidRDefault="008E401F" w:rsidP="003D7F08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настоящ</w:t>
      </w:r>
      <w:r w:rsidR="00A97B8A">
        <w:rPr>
          <w:rFonts w:ascii="Times New Roman" w:hAnsi="Times New Roman" w:cs="Times New Roman"/>
          <w:sz w:val="28"/>
          <w:szCs w:val="28"/>
        </w:rPr>
        <w:t>ая Методика может также применя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97B8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A262D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оценк</w:t>
      </w:r>
      <w:r w:rsidR="00A262D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любого субъекта. </w:t>
      </w:r>
      <w:r w:rsidR="002D524D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C41A1F">
        <w:rPr>
          <w:rFonts w:ascii="Times New Roman" w:hAnsi="Times New Roman" w:cs="Times New Roman"/>
          <w:sz w:val="28"/>
          <w:szCs w:val="28"/>
        </w:rPr>
        <w:t xml:space="preserve">было бы </w:t>
      </w:r>
      <w:r w:rsidR="00A97B8A">
        <w:rPr>
          <w:rFonts w:ascii="Times New Roman" w:hAnsi="Times New Roman" w:cs="Times New Roman"/>
          <w:sz w:val="28"/>
          <w:szCs w:val="28"/>
        </w:rPr>
        <w:t>обоснованным применение</w:t>
      </w:r>
      <w:r w:rsidR="00A262D2">
        <w:rPr>
          <w:rFonts w:ascii="Times New Roman" w:hAnsi="Times New Roman" w:cs="Times New Roman"/>
          <w:sz w:val="28"/>
          <w:szCs w:val="28"/>
        </w:rPr>
        <w:t xml:space="preserve"> настоящей Методики при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A1F">
        <w:rPr>
          <w:rFonts w:ascii="Times New Roman" w:hAnsi="Times New Roman" w:cs="Times New Roman"/>
          <w:sz w:val="28"/>
          <w:szCs w:val="28"/>
        </w:rPr>
        <w:t xml:space="preserve">деятельности и рейтингования </w:t>
      </w:r>
      <w:r w:rsidR="0067149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578A" w:rsidRDefault="005A578A" w:rsidP="005A578A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36336E">
        <w:rPr>
          <w:rFonts w:ascii="Times New Roman" w:hAnsi="Times New Roman" w:cs="Times New Roman"/>
          <w:sz w:val="28"/>
          <w:szCs w:val="28"/>
        </w:rPr>
        <w:t xml:space="preserve">индекса </w:t>
      </w:r>
      <w:r w:rsidRPr="008A1E11">
        <w:rPr>
          <w:rFonts w:ascii="Times New Roman" w:hAnsi="Times New Roman" w:cs="Times New Roman"/>
          <w:sz w:val="28"/>
          <w:szCs w:val="28"/>
        </w:rPr>
        <w:t>рейтинг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1E11">
        <w:rPr>
          <w:rFonts w:ascii="Times New Roman" w:hAnsi="Times New Roman" w:cs="Times New Roman"/>
          <w:sz w:val="28"/>
          <w:szCs w:val="28"/>
        </w:rPr>
        <w:t xml:space="preserve"> (по всем </w:t>
      </w:r>
      <w:r>
        <w:rPr>
          <w:rFonts w:ascii="Times New Roman" w:hAnsi="Times New Roman" w:cs="Times New Roman"/>
          <w:sz w:val="28"/>
          <w:szCs w:val="28"/>
        </w:rPr>
        <w:t>ИОГВ РТ</w:t>
      </w:r>
      <w:r w:rsidRPr="008A1E11">
        <w:rPr>
          <w:rFonts w:ascii="Times New Roman" w:hAnsi="Times New Roman" w:cs="Times New Roman"/>
          <w:sz w:val="28"/>
          <w:szCs w:val="28"/>
        </w:rPr>
        <w:t xml:space="preserve">) </w:t>
      </w:r>
      <w:r w:rsidRPr="00843326">
        <w:rPr>
          <w:rFonts w:ascii="Times New Roman" w:hAnsi="Times New Roman" w:cs="Times New Roman"/>
          <w:sz w:val="28"/>
          <w:szCs w:val="28"/>
        </w:rPr>
        <w:t xml:space="preserve">осуществляется путем ранжирования </w:t>
      </w:r>
      <w:r>
        <w:rPr>
          <w:rFonts w:ascii="Times New Roman" w:hAnsi="Times New Roman" w:cs="Times New Roman"/>
          <w:sz w:val="28"/>
          <w:szCs w:val="28"/>
        </w:rPr>
        <w:t>ИОГВ РТ</w:t>
      </w:r>
      <w:r w:rsidRPr="00843326">
        <w:rPr>
          <w:rFonts w:ascii="Times New Roman" w:hAnsi="Times New Roman" w:cs="Times New Roman"/>
          <w:sz w:val="28"/>
          <w:szCs w:val="28"/>
        </w:rPr>
        <w:t xml:space="preserve"> в порядке убывания по значениям интегральн</w:t>
      </w:r>
      <w:r w:rsidR="00C76F64">
        <w:rPr>
          <w:rFonts w:ascii="Times New Roman" w:hAnsi="Times New Roman" w:cs="Times New Roman"/>
          <w:sz w:val="28"/>
          <w:szCs w:val="28"/>
        </w:rPr>
        <w:t>ого</w:t>
      </w:r>
      <w:r w:rsidRPr="00843326">
        <w:rPr>
          <w:rFonts w:ascii="Times New Roman" w:hAnsi="Times New Roman" w:cs="Times New Roman"/>
          <w:sz w:val="28"/>
          <w:szCs w:val="28"/>
        </w:rPr>
        <w:t xml:space="preserve"> индекс</w:t>
      </w:r>
      <w:r w:rsidR="00C76F64">
        <w:rPr>
          <w:rFonts w:ascii="Times New Roman" w:hAnsi="Times New Roman" w:cs="Times New Roman"/>
          <w:sz w:val="28"/>
          <w:szCs w:val="28"/>
        </w:rPr>
        <w:t>а рейтинга.</w:t>
      </w:r>
    </w:p>
    <w:p w:rsidR="00605AF7" w:rsidRDefault="008B1DC7" w:rsidP="008B1DC7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10430075"/>
      <w:r w:rsidRPr="008B1DC7">
        <w:rPr>
          <w:rFonts w:ascii="Times New Roman" w:hAnsi="Times New Roman" w:cs="Times New Roman"/>
          <w:b/>
          <w:color w:val="auto"/>
          <w:sz w:val="28"/>
          <w:szCs w:val="28"/>
        </w:rPr>
        <w:t>Расчет значений показателей</w:t>
      </w:r>
      <w:bookmarkEnd w:id="2"/>
    </w:p>
    <w:p w:rsidR="00A97B8A" w:rsidRPr="00A97B8A" w:rsidRDefault="00A97B8A" w:rsidP="00A97B8A"/>
    <w:p w:rsidR="00EC7874" w:rsidRPr="005309E2" w:rsidRDefault="001467F7" w:rsidP="00A97B8A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ИОГВ РТ, как было отмечено выше, Мин</w:t>
      </w:r>
      <w:r w:rsidR="00A97B8A">
        <w:rPr>
          <w:rFonts w:ascii="Times New Roman" w:hAnsi="Times New Roman" w:cs="Times New Roman"/>
          <w:sz w:val="28"/>
          <w:szCs w:val="28"/>
        </w:rPr>
        <w:t xml:space="preserve">истерство </w:t>
      </w:r>
      <w:r>
        <w:rPr>
          <w:rFonts w:ascii="Times New Roman" w:hAnsi="Times New Roman" w:cs="Times New Roman"/>
          <w:sz w:val="28"/>
          <w:szCs w:val="28"/>
        </w:rPr>
        <w:t>эк</w:t>
      </w:r>
      <w:r w:rsidR="00A97B8A">
        <w:rPr>
          <w:rFonts w:ascii="Times New Roman" w:hAnsi="Times New Roman" w:cs="Times New Roman"/>
          <w:sz w:val="28"/>
          <w:szCs w:val="28"/>
        </w:rPr>
        <w:t>ономики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разрабатывает </w:t>
      </w:r>
      <w:r w:rsidR="00EC7874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8A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>задания на управление на очередной и два послед</w:t>
      </w:r>
      <w:r w:rsidR="0036336E">
        <w:rPr>
          <w:rFonts w:ascii="Times New Roman" w:hAnsi="Times New Roman" w:cs="Times New Roman"/>
          <w:sz w:val="28"/>
          <w:szCs w:val="28"/>
        </w:rPr>
        <w:t>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24D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. Этот период </w:t>
      </w:r>
      <w:r w:rsidR="00EC7874">
        <w:rPr>
          <w:rFonts w:ascii="Times New Roman" w:hAnsi="Times New Roman" w:cs="Times New Roman"/>
          <w:sz w:val="28"/>
          <w:szCs w:val="28"/>
        </w:rPr>
        <w:t>совпадает</w:t>
      </w:r>
      <w:r>
        <w:rPr>
          <w:rFonts w:ascii="Times New Roman" w:hAnsi="Times New Roman" w:cs="Times New Roman"/>
          <w:sz w:val="28"/>
          <w:szCs w:val="28"/>
        </w:rPr>
        <w:t xml:space="preserve"> с циклом бюджетного </w:t>
      </w:r>
      <w:r w:rsidR="00EC7874">
        <w:rPr>
          <w:rFonts w:ascii="Times New Roman" w:hAnsi="Times New Roman" w:cs="Times New Roman"/>
          <w:sz w:val="28"/>
          <w:szCs w:val="28"/>
        </w:rPr>
        <w:t>планирования</w:t>
      </w:r>
      <w:r w:rsidR="0036336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периодом, на который </w:t>
      </w:r>
      <w:r w:rsidR="00EC7874">
        <w:rPr>
          <w:rFonts w:ascii="Times New Roman" w:hAnsi="Times New Roman" w:cs="Times New Roman"/>
          <w:sz w:val="28"/>
          <w:szCs w:val="28"/>
        </w:rPr>
        <w:t>уславливается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874">
        <w:rPr>
          <w:rFonts w:ascii="Times New Roman" w:hAnsi="Times New Roman" w:cs="Times New Roman"/>
          <w:sz w:val="28"/>
          <w:szCs w:val="28"/>
        </w:rPr>
        <w:t>показатели</w:t>
      </w:r>
      <w:r w:rsidR="0036336E">
        <w:rPr>
          <w:rFonts w:ascii="Times New Roman" w:hAnsi="Times New Roman" w:cs="Times New Roman"/>
          <w:sz w:val="28"/>
          <w:szCs w:val="28"/>
        </w:rPr>
        <w:t xml:space="preserve"> оценки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деят</w:t>
      </w:r>
      <w:r w:rsidR="00EC7874">
        <w:rPr>
          <w:rFonts w:ascii="Times New Roman" w:hAnsi="Times New Roman" w:cs="Times New Roman"/>
          <w:sz w:val="28"/>
          <w:szCs w:val="28"/>
        </w:rPr>
        <w:t>ельности органов местного с</w:t>
      </w:r>
      <w:r w:rsidR="00DF76B6">
        <w:rPr>
          <w:rFonts w:ascii="Times New Roman" w:hAnsi="Times New Roman" w:cs="Times New Roman"/>
          <w:sz w:val="28"/>
          <w:szCs w:val="28"/>
        </w:rPr>
        <w:t xml:space="preserve">амоуправления (в соответствии с </w:t>
      </w:r>
      <w:r w:rsidR="00DF76B6" w:rsidRPr="0036252E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</w:t>
      </w:r>
      <w:r w:rsidR="00BE7489" w:rsidRPr="0036252E">
        <w:rPr>
          <w:rFonts w:ascii="Times New Roman" w:hAnsi="Times New Roman" w:cs="Times New Roman"/>
          <w:sz w:val="28"/>
          <w:szCs w:val="28"/>
        </w:rPr>
        <w:t>Татарстан от</w:t>
      </w:r>
      <w:r w:rsidR="00BE7489">
        <w:rPr>
          <w:rFonts w:ascii="Times New Roman" w:hAnsi="Times New Roman" w:cs="Times New Roman"/>
          <w:sz w:val="28"/>
          <w:szCs w:val="28"/>
        </w:rPr>
        <w:t xml:space="preserve"> 22.04.2015 № 275 </w:t>
      </w:r>
      <w:r w:rsidR="00BE7489" w:rsidRPr="00BE7489">
        <w:rPr>
          <w:rFonts w:ascii="Times New Roman" w:hAnsi="Times New Roman" w:cs="Times New Roman"/>
          <w:i/>
          <w:sz w:val="28"/>
          <w:szCs w:val="28"/>
        </w:rPr>
        <w:t xml:space="preserve">«Об утверждении порядка заключения </w:t>
      </w:r>
      <w:r w:rsidR="00A54EAE">
        <w:rPr>
          <w:rFonts w:ascii="Times New Roman" w:hAnsi="Times New Roman" w:cs="Times New Roman"/>
          <w:i/>
          <w:sz w:val="28"/>
          <w:szCs w:val="28"/>
        </w:rPr>
        <w:t>С</w:t>
      </w:r>
      <w:r w:rsidR="00BE7489" w:rsidRPr="00BE7489">
        <w:rPr>
          <w:rFonts w:ascii="Times New Roman" w:hAnsi="Times New Roman" w:cs="Times New Roman"/>
          <w:i/>
          <w:sz w:val="28"/>
          <w:szCs w:val="28"/>
        </w:rPr>
        <w:t xml:space="preserve">оглашений между Кабинетом Министров Республики Татарстан, Советом муниципальных образований Республики Татарстан и муниципальных районами (городскими округами) Республики Татарстан о достижении планируемых значений показателей результативности </w:t>
      </w:r>
      <w:r w:rsidR="00BE7489" w:rsidRPr="00BE7489">
        <w:rPr>
          <w:rFonts w:ascii="Times New Roman" w:hAnsi="Times New Roman" w:cs="Times New Roman"/>
          <w:i/>
          <w:sz w:val="28"/>
          <w:szCs w:val="28"/>
        </w:rPr>
        <w:lastRenderedPageBreak/>
        <w:t>деятельности органов местного самоуправления муниципальных районов (городских округов) Республики Татарстан</w:t>
      </w:r>
      <w:r w:rsidR="00BE7489">
        <w:rPr>
          <w:rFonts w:ascii="Times New Roman" w:hAnsi="Times New Roman" w:cs="Times New Roman"/>
          <w:i/>
          <w:sz w:val="28"/>
          <w:szCs w:val="28"/>
        </w:rPr>
        <w:t>»</w:t>
      </w:r>
      <w:r w:rsidR="00F34D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4DCF">
        <w:rPr>
          <w:rFonts w:ascii="Times New Roman" w:hAnsi="Times New Roman" w:cs="Times New Roman"/>
          <w:sz w:val="28"/>
          <w:szCs w:val="28"/>
        </w:rPr>
        <w:t>(далее – ПКМ РТ №275)</w:t>
      </w:r>
      <w:r w:rsidR="00BE7489">
        <w:rPr>
          <w:rFonts w:ascii="Times New Roman" w:hAnsi="Times New Roman" w:cs="Times New Roman"/>
          <w:i/>
          <w:sz w:val="28"/>
          <w:szCs w:val="28"/>
        </w:rPr>
        <w:t>.</w:t>
      </w:r>
    </w:p>
    <w:p w:rsidR="002D524D" w:rsidRDefault="00EC7874" w:rsidP="008508DC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</w:t>
      </w:r>
      <w:r w:rsidR="00FC2D0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задаются в виде </w:t>
      </w:r>
      <w:r w:rsidR="00A97B8A">
        <w:rPr>
          <w:rFonts w:ascii="Times New Roman" w:hAnsi="Times New Roman" w:cs="Times New Roman"/>
          <w:sz w:val="28"/>
          <w:szCs w:val="28"/>
        </w:rPr>
        <w:t>диапазона их</w:t>
      </w:r>
      <w:r>
        <w:rPr>
          <w:rFonts w:ascii="Times New Roman" w:hAnsi="Times New Roman" w:cs="Times New Roman"/>
          <w:sz w:val="28"/>
          <w:szCs w:val="28"/>
        </w:rPr>
        <w:t xml:space="preserve"> пороговых значений, определяющих «лучшее</w:t>
      </w:r>
      <w:r w:rsidR="002D52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D524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худшее» значения</w:t>
      </w:r>
      <w:r w:rsidR="002D524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5C3BD8">
        <w:rPr>
          <w:rFonts w:ascii="Times New Roman" w:hAnsi="Times New Roman" w:cs="Times New Roman"/>
          <w:sz w:val="28"/>
          <w:szCs w:val="28"/>
        </w:rPr>
        <w:t>для н</w:t>
      </w:r>
      <w:r w:rsidR="002D524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коридоре</w:t>
      </w:r>
      <w:r w:rsidR="002D524D">
        <w:rPr>
          <w:rFonts w:ascii="Times New Roman" w:hAnsi="Times New Roman" w:cs="Times New Roman"/>
          <w:sz w:val="28"/>
          <w:szCs w:val="28"/>
        </w:rPr>
        <w:t xml:space="preserve"> значений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A1F" w:rsidRDefault="00DD4E05" w:rsidP="008508DC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4C38">
        <w:rPr>
          <w:rFonts w:ascii="Times New Roman" w:hAnsi="Times New Roman" w:cs="Times New Roman"/>
          <w:sz w:val="28"/>
          <w:szCs w:val="28"/>
        </w:rPr>
        <w:t>Фактические</w:t>
      </w:r>
      <w:r w:rsidR="00EC7874" w:rsidRPr="00674C38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2D524D" w:rsidRPr="00674C38">
        <w:rPr>
          <w:rFonts w:ascii="Times New Roman" w:hAnsi="Times New Roman" w:cs="Times New Roman"/>
          <w:sz w:val="28"/>
          <w:szCs w:val="28"/>
        </w:rPr>
        <w:t>я</w:t>
      </w:r>
      <w:r w:rsidR="00EC7874" w:rsidRPr="00674C38">
        <w:rPr>
          <w:rFonts w:ascii="Times New Roman" w:hAnsi="Times New Roman" w:cs="Times New Roman"/>
          <w:sz w:val="28"/>
          <w:szCs w:val="28"/>
        </w:rPr>
        <w:t xml:space="preserve"> </w:t>
      </w:r>
      <w:r w:rsidR="002D524D" w:rsidRPr="00674C38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EC7874" w:rsidRPr="00674C38">
        <w:rPr>
          <w:rFonts w:ascii="Times New Roman" w:hAnsi="Times New Roman" w:cs="Times New Roman"/>
          <w:sz w:val="28"/>
          <w:szCs w:val="28"/>
        </w:rPr>
        <w:t xml:space="preserve">формируются в </w:t>
      </w:r>
      <w:r w:rsidR="002F77D4" w:rsidRPr="00674C38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</w:t>
      </w:r>
      <w:r w:rsidR="00F25D25" w:rsidRPr="00674C38">
        <w:rPr>
          <w:rFonts w:ascii="Times New Roman" w:hAnsi="Times New Roman" w:cs="Times New Roman"/>
          <w:sz w:val="28"/>
          <w:szCs w:val="28"/>
        </w:rPr>
        <w:t xml:space="preserve"> </w:t>
      </w:r>
      <w:r w:rsidR="00674C38">
        <w:rPr>
          <w:rFonts w:ascii="Times New Roman" w:hAnsi="Times New Roman" w:cs="Times New Roman"/>
          <w:sz w:val="28"/>
          <w:szCs w:val="28"/>
        </w:rPr>
        <w:t>по</w:t>
      </w:r>
      <w:r w:rsidR="00FC2D08">
        <w:rPr>
          <w:rFonts w:ascii="Times New Roman" w:hAnsi="Times New Roman" w:cs="Times New Roman"/>
          <w:sz w:val="28"/>
          <w:szCs w:val="28"/>
        </w:rPr>
        <w:t xml:space="preserve"> их</w:t>
      </w:r>
      <w:r w:rsidR="00674C38">
        <w:rPr>
          <w:rFonts w:ascii="Times New Roman" w:hAnsi="Times New Roman" w:cs="Times New Roman"/>
          <w:sz w:val="28"/>
          <w:szCs w:val="28"/>
        </w:rPr>
        <w:t xml:space="preserve"> мониторингу.</w:t>
      </w:r>
    </w:p>
    <w:p w:rsidR="00C41A1F" w:rsidRDefault="00EC7874" w:rsidP="008508DC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D524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ажд</w:t>
      </w:r>
      <w:r w:rsidR="002D524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2D524D">
        <w:rPr>
          <w:rFonts w:ascii="Times New Roman" w:hAnsi="Times New Roman" w:cs="Times New Roman"/>
          <w:sz w:val="28"/>
          <w:szCs w:val="28"/>
        </w:rPr>
        <w:t>я</w:t>
      </w:r>
      <w:r w:rsidR="00C91E95">
        <w:rPr>
          <w:rFonts w:ascii="Times New Roman" w:hAnsi="Times New Roman" w:cs="Times New Roman"/>
          <w:sz w:val="28"/>
          <w:szCs w:val="28"/>
        </w:rPr>
        <w:t xml:space="preserve"> </w:t>
      </w:r>
      <w:r w:rsidR="00A97B8A">
        <w:rPr>
          <w:rFonts w:ascii="Times New Roman" w:hAnsi="Times New Roman" w:cs="Times New Roman"/>
          <w:sz w:val="28"/>
          <w:szCs w:val="28"/>
        </w:rPr>
        <w:t>устанавливается свой</w:t>
      </w:r>
      <w:r>
        <w:rPr>
          <w:rFonts w:ascii="Times New Roman" w:hAnsi="Times New Roman" w:cs="Times New Roman"/>
          <w:sz w:val="28"/>
          <w:szCs w:val="28"/>
        </w:rPr>
        <w:t xml:space="preserve"> вес, характеризующий </w:t>
      </w:r>
      <w:r w:rsidR="00C41A1F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значимость в конкретный </w:t>
      </w:r>
      <w:r w:rsidR="00C91E95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E95">
        <w:rPr>
          <w:rFonts w:ascii="Times New Roman" w:hAnsi="Times New Roman" w:cs="Times New Roman"/>
          <w:sz w:val="28"/>
          <w:szCs w:val="28"/>
        </w:rPr>
        <w:t>времени,</w:t>
      </w:r>
      <w:r>
        <w:rPr>
          <w:rFonts w:ascii="Times New Roman" w:hAnsi="Times New Roman" w:cs="Times New Roman"/>
          <w:sz w:val="28"/>
          <w:szCs w:val="28"/>
        </w:rPr>
        <w:t xml:space="preserve"> и определяет вектор развития. </w:t>
      </w:r>
    </w:p>
    <w:p w:rsidR="00EC7874" w:rsidRDefault="00EC7874" w:rsidP="008508DC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</w:t>
      </w:r>
      <w:r w:rsidR="00A97B8A">
        <w:rPr>
          <w:rFonts w:ascii="Times New Roman" w:hAnsi="Times New Roman" w:cs="Times New Roman"/>
          <w:sz w:val="28"/>
          <w:szCs w:val="28"/>
        </w:rPr>
        <w:t>ице</w:t>
      </w:r>
      <w:r>
        <w:rPr>
          <w:rFonts w:ascii="Times New Roman" w:hAnsi="Times New Roman" w:cs="Times New Roman"/>
          <w:sz w:val="28"/>
          <w:szCs w:val="28"/>
        </w:rPr>
        <w:t xml:space="preserve"> 1 для иллюстрации приведен пример</w:t>
      </w:r>
      <w:r w:rsidR="00C41A1F">
        <w:rPr>
          <w:rFonts w:ascii="Times New Roman" w:hAnsi="Times New Roman" w:cs="Times New Roman"/>
          <w:sz w:val="28"/>
          <w:szCs w:val="28"/>
        </w:rPr>
        <w:t xml:space="preserve"> </w:t>
      </w:r>
      <w:r w:rsidR="00A97B8A">
        <w:rPr>
          <w:rFonts w:ascii="Times New Roman" w:hAnsi="Times New Roman" w:cs="Times New Roman"/>
          <w:sz w:val="28"/>
          <w:szCs w:val="28"/>
        </w:rPr>
        <w:t xml:space="preserve">фрагментов государственного </w:t>
      </w:r>
      <w:r w:rsidR="00841D61">
        <w:rPr>
          <w:rFonts w:ascii="Times New Roman" w:hAnsi="Times New Roman" w:cs="Times New Roman"/>
          <w:sz w:val="28"/>
          <w:szCs w:val="28"/>
        </w:rPr>
        <w:t>задания для трех</w:t>
      </w:r>
      <w:r>
        <w:rPr>
          <w:rFonts w:ascii="Times New Roman" w:hAnsi="Times New Roman" w:cs="Times New Roman"/>
          <w:sz w:val="28"/>
          <w:szCs w:val="28"/>
        </w:rPr>
        <w:t xml:space="preserve"> ИОГВ РТ. </w:t>
      </w:r>
    </w:p>
    <w:p w:rsidR="00F02DD9" w:rsidRDefault="00F02DD9" w:rsidP="00F02DD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C5EBE" w:rsidRDefault="00AC5EBE" w:rsidP="00F02DD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C5EBE" w:rsidRDefault="00AC5EBE" w:rsidP="00F02DD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C5EBE" w:rsidRDefault="00AC5EBE" w:rsidP="00F02DD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C5EBE" w:rsidRDefault="00AC5EBE" w:rsidP="00F02DD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C5EBE" w:rsidRDefault="00AC5EBE" w:rsidP="00DF76B6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  <w:sectPr w:rsidR="00AC5EBE" w:rsidSect="000121B9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91E95" w:rsidRPr="00DA07F9" w:rsidRDefault="00C91E95" w:rsidP="008508DC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07F9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 w:rsidR="00DA07F9" w:rsidRPr="00DA07F9">
        <w:rPr>
          <w:rFonts w:ascii="Times New Roman" w:hAnsi="Times New Roman" w:cs="Times New Roman"/>
          <w:sz w:val="28"/>
          <w:szCs w:val="28"/>
        </w:rPr>
        <w:t xml:space="preserve"> </w:t>
      </w:r>
      <w:r w:rsidR="00A0330E">
        <w:rPr>
          <w:rFonts w:ascii="Times New Roman" w:hAnsi="Times New Roman" w:cs="Times New Roman"/>
          <w:sz w:val="28"/>
          <w:szCs w:val="28"/>
        </w:rPr>
        <w:t>–</w:t>
      </w:r>
      <w:r w:rsidR="00DA07F9" w:rsidRPr="00DA07F9">
        <w:rPr>
          <w:rFonts w:ascii="Times New Roman" w:hAnsi="Times New Roman" w:cs="Times New Roman"/>
          <w:sz w:val="28"/>
          <w:szCs w:val="28"/>
        </w:rPr>
        <w:t xml:space="preserve"> </w:t>
      </w:r>
      <w:r w:rsidR="00A0330E">
        <w:rPr>
          <w:rFonts w:ascii="Times New Roman" w:hAnsi="Times New Roman" w:cs="Times New Roman"/>
          <w:sz w:val="28"/>
          <w:szCs w:val="28"/>
        </w:rPr>
        <w:t>Иллюстрационный пример</w:t>
      </w:r>
      <w:r w:rsidR="00644AC2">
        <w:rPr>
          <w:rFonts w:ascii="Times New Roman" w:hAnsi="Times New Roman" w:cs="Times New Roman"/>
          <w:sz w:val="28"/>
          <w:szCs w:val="28"/>
        </w:rPr>
        <w:t xml:space="preserve"> фрагментов государственного задания ИОГВ РТ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327"/>
        <w:gridCol w:w="4097"/>
        <w:gridCol w:w="1395"/>
        <w:gridCol w:w="1395"/>
        <w:gridCol w:w="1890"/>
        <w:gridCol w:w="2073"/>
        <w:gridCol w:w="1383"/>
      </w:tblGrid>
      <w:tr w:rsidR="00B62235" w:rsidRPr="006D54AD" w:rsidTr="00500CDB">
        <w:tc>
          <w:tcPr>
            <w:tcW w:w="799" w:type="pct"/>
            <w:shd w:val="clear" w:color="auto" w:fill="44546A" w:themeFill="text2"/>
          </w:tcPr>
          <w:p w:rsidR="00B62235" w:rsidRPr="006D54AD" w:rsidRDefault="00B62235" w:rsidP="00F7155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Наименование ИОГВ РТ</w:t>
            </w:r>
          </w:p>
        </w:tc>
        <w:tc>
          <w:tcPr>
            <w:tcW w:w="1407" w:type="pct"/>
            <w:shd w:val="clear" w:color="auto" w:fill="44546A" w:themeFill="text2"/>
          </w:tcPr>
          <w:p w:rsidR="00B62235" w:rsidRPr="006D54AD" w:rsidRDefault="00B62235" w:rsidP="00F7155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9" w:type="pct"/>
            <w:shd w:val="clear" w:color="auto" w:fill="44546A" w:themeFill="text2"/>
          </w:tcPr>
          <w:p w:rsidR="00B62235" w:rsidRPr="006D54AD" w:rsidRDefault="00B62235" w:rsidP="00F7155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6D54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Значение «</w:t>
            </w:r>
            <w:r w:rsidRPr="006D54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D54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»*</w:t>
            </w:r>
          </w:p>
        </w:tc>
        <w:tc>
          <w:tcPr>
            <w:tcW w:w="479" w:type="pct"/>
            <w:shd w:val="clear" w:color="auto" w:fill="44546A" w:themeFill="text2"/>
          </w:tcPr>
          <w:p w:rsidR="00B62235" w:rsidRPr="006D54AD" w:rsidRDefault="00B62235" w:rsidP="00F7155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Значение «</w:t>
            </w:r>
            <w:proofErr w:type="spellStart"/>
            <w:r w:rsidRPr="006D54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min</w:t>
            </w:r>
            <w:proofErr w:type="spellEnd"/>
            <w:r w:rsidRPr="006D54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»*</w:t>
            </w:r>
          </w:p>
        </w:tc>
        <w:tc>
          <w:tcPr>
            <w:tcW w:w="649" w:type="pct"/>
            <w:shd w:val="clear" w:color="auto" w:fill="44546A" w:themeFill="text2"/>
          </w:tcPr>
          <w:p w:rsidR="00B62235" w:rsidRPr="006D54AD" w:rsidRDefault="00B62235" w:rsidP="00F7155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Фактическое значение*</w:t>
            </w:r>
          </w:p>
        </w:tc>
        <w:tc>
          <w:tcPr>
            <w:tcW w:w="712" w:type="pct"/>
            <w:shd w:val="clear" w:color="auto" w:fill="44546A" w:themeFill="text2"/>
          </w:tcPr>
          <w:p w:rsidR="00B62235" w:rsidRPr="006D54AD" w:rsidRDefault="00B62235" w:rsidP="00F7155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Весовой коэффициент*</w:t>
            </w:r>
          </w:p>
        </w:tc>
        <w:tc>
          <w:tcPr>
            <w:tcW w:w="476" w:type="pct"/>
            <w:shd w:val="clear" w:color="auto" w:fill="44546A" w:themeFill="text2"/>
          </w:tcPr>
          <w:p w:rsidR="00B62235" w:rsidRPr="006D54AD" w:rsidRDefault="00B62235" w:rsidP="00F7155F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Индекс рейтинга</w:t>
            </w:r>
          </w:p>
        </w:tc>
      </w:tr>
      <w:tr w:rsidR="00500CDB" w:rsidRPr="006D54AD" w:rsidTr="00500CDB">
        <w:tc>
          <w:tcPr>
            <w:tcW w:w="799" w:type="pct"/>
            <w:vMerge w:val="restart"/>
            <w:vAlign w:val="center"/>
          </w:tcPr>
          <w:p w:rsidR="00500CDB" w:rsidRPr="006D54AD" w:rsidRDefault="00500CDB" w:rsidP="00F929C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1407" w:type="pct"/>
          </w:tcPr>
          <w:p w:rsidR="00500CDB" w:rsidRPr="006D54AD" w:rsidRDefault="00500CDB" w:rsidP="00F7155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Выполнение государственных программ государственным заказчиком-координатором, %</w:t>
            </w:r>
          </w:p>
        </w:tc>
        <w:tc>
          <w:tcPr>
            <w:tcW w:w="47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12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6" w:type="pct"/>
            <w:vMerge w:val="restart"/>
            <w:vAlign w:val="center"/>
          </w:tcPr>
          <w:p w:rsidR="00500CDB" w:rsidRPr="006D54AD" w:rsidRDefault="00500CDB" w:rsidP="00500CD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500CDB" w:rsidRPr="006D54AD" w:rsidTr="00500CDB">
        <w:tc>
          <w:tcPr>
            <w:tcW w:w="799" w:type="pct"/>
            <w:vMerge/>
          </w:tcPr>
          <w:p w:rsidR="00500CDB" w:rsidRPr="006D54AD" w:rsidRDefault="00500CDB" w:rsidP="00F549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</w:tcPr>
          <w:p w:rsidR="00500CDB" w:rsidRPr="006D54AD" w:rsidRDefault="00500CDB" w:rsidP="00F7155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Доля стоимости контрактов, заключенных по результатам несостоявшихся конкурентных способов закупок, в общей стоимости заключенных контрактов (с учетом подведомственных организаций), %</w:t>
            </w:r>
          </w:p>
        </w:tc>
        <w:tc>
          <w:tcPr>
            <w:tcW w:w="47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12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" w:type="pct"/>
            <w:vMerge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CDB" w:rsidRPr="006D54AD" w:rsidTr="00500CDB">
        <w:tc>
          <w:tcPr>
            <w:tcW w:w="799" w:type="pct"/>
            <w:vMerge w:val="restart"/>
            <w:vAlign w:val="center"/>
          </w:tcPr>
          <w:p w:rsidR="00500CDB" w:rsidRPr="006D54AD" w:rsidRDefault="00500CDB" w:rsidP="00F929C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ЖКХ Республики Татарстан</w:t>
            </w:r>
          </w:p>
        </w:tc>
        <w:tc>
          <w:tcPr>
            <w:tcW w:w="1407" w:type="pct"/>
          </w:tcPr>
          <w:p w:rsidR="00500CDB" w:rsidRPr="006D54AD" w:rsidRDefault="00500CDB" w:rsidP="00F7155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Выполнение государственных программ государственным заказчиком-координатором, %</w:t>
            </w:r>
          </w:p>
        </w:tc>
        <w:tc>
          <w:tcPr>
            <w:tcW w:w="47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12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" w:type="pct"/>
            <w:vMerge w:val="restart"/>
            <w:vAlign w:val="center"/>
          </w:tcPr>
          <w:p w:rsidR="00500CDB" w:rsidRPr="006D54AD" w:rsidRDefault="00500CDB" w:rsidP="00500CD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00CDB" w:rsidRPr="006D54AD" w:rsidTr="00500CDB">
        <w:tc>
          <w:tcPr>
            <w:tcW w:w="799" w:type="pct"/>
            <w:vMerge/>
          </w:tcPr>
          <w:p w:rsidR="00500CDB" w:rsidRPr="006D54AD" w:rsidRDefault="00500CDB" w:rsidP="00F549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</w:tcPr>
          <w:p w:rsidR="00500CDB" w:rsidRPr="006D54AD" w:rsidRDefault="00500CDB" w:rsidP="00F7155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Доля стоимости контрактов, заключенных по результатам несостоявшихся конкурентных способов закупок, в общей стоимости заключенных контрактов (с учетом подведомственных организаций), %</w:t>
            </w:r>
          </w:p>
        </w:tc>
        <w:tc>
          <w:tcPr>
            <w:tcW w:w="47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12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" w:type="pct"/>
            <w:vMerge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CDB" w:rsidRPr="006D54AD" w:rsidTr="00500CDB">
        <w:tc>
          <w:tcPr>
            <w:tcW w:w="799" w:type="pct"/>
            <w:vMerge w:val="restart"/>
            <w:vAlign w:val="center"/>
          </w:tcPr>
          <w:p w:rsidR="00500CDB" w:rsidRPr="006D54AD" w:rsidRDefault="00500CDB" w:rsidP="00F929C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1407" w:type="pct"/>
          </w:tcPr>
          <w:p w:rsidR="00500CDB" w:rsidRPr="006D54AD" w:rsidRDefault="00500CDB" w:rsidP="00F7155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Выполнение государственных программ государственным заказчиком-координатором, %</w:t>
            </w:r>
          </w:p>
        </w:tc>
        <w:tc>
          <w:tcPr>
            <w:tcW w:w="47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12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" w:type="pct"/>
            <w:vMerge w:val="restart"/>
            <w:vAlign w:val="center"/>
          </w:tcPr>
          <w:p w:rsidR="00500CDB" w:rsidRPr="006D54AD" w:rsidRDefault="00500CDB" w:rsidP="00500CD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00CDB" w:rsidRPr="006D54AD" w:rsidTr="00500CDB">
        <w:tc>
          <w:tcPr>
            <w:tcW w:w="799" w:type="pct"/>
            <w:vMerge/>
          </w:tcPr>
          <w:p w:rsidR="00500CDB" w:rsidRPr="006D54AD" w:rsidRDefault="00500CDB" w:rsidP="00F549B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</w:tcPr>
          <w:p w:rsidR="00500CDB" w:rsidRPr="006D54AD" w:rsidRDefault="00500CDB" w:rsidP="00F7155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Доля стоимости контрактов, заключенных по результатам несостоявшихся конкурентных способов закупок, в общей стоимости заключенных контрактов (с учетом подведомственных организаций), %</w:t>
            </w:r>
          </w:p>
        </w:tc>
        <w:tc>
          <w:tcPr>
            <w:tcW w:w="47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pct"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" w:type="pct"/>
            <w:vMerge/>
          </w:tcPr>
          <w:p w:rsidR="00500CDB" w:rsidRPr="006D54AD" w:rsidRDefault="00500CDB" w:rsidP="000B4A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235" w:rsidRPr="006D54AD" w:rsidTr="00500CDB">
        <w:tc>
          <w:tcPr>
            <w:tcW w:w="4524" w:type="pct"/>
            <w:gridSpan w:val="6"/>
            <w:vAlign w:val="bottom"/>
          </w:tcPr>
          <w:p w:rsidR="00B62235" w:rsidRPr="006D54AD" w:rsidRDefault="00B62235" w:rsidP="008D63B8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 показатели </w:t>
            </w:r>
            <w:r w:rsidR="008D63B8" w:rsidRPr="006D54AD">
              <w:rPr>
                <w:rFonts w:ascii="Times New Roman" w:hAnsi="Times New Roman" w:cs="Times New Roman"/>
                <w:i/>
                <w:sz w:val="24"/>
                <w:szCs w:val="24"/>
              </w:rPr>
              <w:t>условн</w:t>
            </w:r>
            <w:r w:rsidR="00FC2D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ы, и используются лишь </w:t>
            </w:r>
            <w:r w:rsidR="008D63B8" w:rsidRPr="006D54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D54AD">
              <w:rPr>
                <w:rFonts w:ascii="Times New Roman" w:hAnsi="Times New Roman" w:cs="Times New Roman"/>
                <w:i/>
                <w:sz w:val="24"/>
                <w:szCs w:val="24"/>
              </w:rPr>
              <w:t>для иллюстрации примера</w:t>
            </w:r>
          </w:p>
        </w:tc>
        <w:tc>
          <w:tcPr>
            <w:tcW w:w="476" w:type="pct"/>
          </w:tcPr>
          <w:p w:rsidR="00B62235" w:rsidRPr="006D54AD" w:rsidRDefault="00B62235" w:rsidP="00F929CA">
            <w:pPr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C4423" w:rsidRDefault="008C4423" w:rsidP="00841D61">
      <w:pPr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C5EBE" w:rsidRDefault="00AC5EBE" w:rsidP="00AC5EBE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  <w:sectPr w:rsidR="00AC5EBE" w:rsidSect="00AC5EB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8508DC" w:rsidRPr="008508DC" w:rsidRDefault="00EC7874" w:rsidP="008508DC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508DC" w:rsidRPr="008508DC">
        <w:rPr>
          <w:rFonts w:ascii="Times New Roman" w:hAnsi="Times New Roman" w:cs="Times New Roman"/>
          <w:sz w:val="28"/>
          <w:szCs w:val="28"/>
        </w:rPr>
        <w:t>Данные о фактических значениях показателей берутся из Единой государственной системы отчетности «Отчеты ведомств» информационного портала «Открытый Татарстан».</w:t>
      </w:r>
    </w:p>
    <w:p w:rsidR="00357286" w:rsidRDefault="00C9502E" w:rsidP="00C86801">
      <w:pPr>
        <w:pStyle w:val="1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110430076"/>
      <w:r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841D61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357286" w:rsidRPr="00C1028F">
        <w:rPr>
          <w:rFonts w:ascii="Times New Roman" w:hAnsi="Times New Roman" w:cs="Times New Roman"/>
          <w:b/>
          <w:color w:val="auto"/>
          <w:sz w:val="28"/>
          <w:szCs w:val="28"/>
        </w:rPr>
        <w:t>Нормирование значений показател</w:t>
      </w:r>
      <w:r w:rsidR="004876F4">
        <w:rPr>
          <w:rFonts w:ascii="Times New Roman" w:hAnsi="Times New Roman" w:cs="Times New Roman"/>
          <w:b/>
          <w:color w:val="auto"/>
          <w:sz w:val="28"/>
          <w:szCs w:val="28"/>
        </w:rPr>
        <w:t>ей</w:t>
      </w:r>
      <w:bookmarkEnd w:id="3"/>
    </w:p>
    <w:p w:rsidR="00357286" w:rsidRDefault="00357286" w:rsidP="00357286">
      <w:pPr>
        <w:spacing w:after="0" w:line="360" w:lineRule="auto"/>
        <w:ind w:firstLine="48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57286" w:rsidRPr="00025D2A" w:rsidRDefault="007E079C" w:rsidP="00841D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рассчит</w:t>
      </w:r>
      <w:r w:rsidR="00C86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интегральные показатели, применяется широко распространённый метод нормирования значений показателя, который позволяет привести их к безраз</w:t>
      </w:r>
      <w:r w:rsidR="00C86801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мерны</w:t>
      </w:r>
      <w:r w:rsidR="00C41A1F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86801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величинам.  </w:t>
      </w:r>
      <w:r w:rsidR="00357286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Числовые значения</w:t>
      </w:r>
      <w:r w:rsidR="00E6765B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прямых</w:t>
      </w:r>
      <w:r w:rsidR="00357286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показателей (положительная динамика определяется увеличением значения показателя) переводятся в нормированные значения по формуле:</w:t>
      </w:r>
    </w:p>
    <w:p w:rsidR="00357286" w:rsidRPr="00025D2A" w:rsidRDefault="003450A9" w:rsidP="00357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i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норм</m:t>
              </m:r>
            </m:sup>
          </m:sSub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i мин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макс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i мин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,</m:t>
          </m:r>
        </m:oMath>
      </m:oMathPara>
    </w:p>
    <w:p w:rsidR="00357286" w:rsidRPr="00025D2A" w:rsidRDefault="00357286" w:rsidP="00357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357286" w:rsidRPr="00025D2A" w:rsidRDefault="003450A9" w:rsidP="00357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норм</m:t>
            </m:r>
          </m:sup>
        </m:sSubSup>
      </m:oMath>
      <w:r w:rsidR="00357286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нормированное значение показателя для </w:t>
      </w:r>
      <w:r w:rsidR="00741F89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</w:t>
      </w:r>
      <w:r w:rsidR="00357286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</w:t>
      </w:r>
      <w:r w:rsidR="00E6765B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ИОГВ РТ</w:t>
      </w:r>
      <w:r w:rsidR="00357286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7286" w:rsidRPr="00025D2A" w:rsidRDefault="003450A9" w:rsidP="00357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 xml:space="preserve">i </m:t>
            </m:r>
          </m:sub>
        </m:sSub>
      </m:oMath>
      <w:r w:rsidR="00357286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фактическое значение показателя для </w:t>
      </w:r>
      <w:r w:rsidR="00741F89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</w:t>
      </w:r>
      <w:r w:rsidR="00357286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-го </w:t>
      </w:r>
      <w:r w:rsidR="00E6765B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ИОГВ РТ</w:t>
      </w:r>
      <w:r w:rsidR="00357286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7286" w:rsidRPr="00025D2A" w:rsidRDefault="003450A9" w:rsidP="00357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i мин</m:t>
            </m:r>
          </m:sub>
        </m:sSub>
      </m:oMath>
      <w:r w:rsidR="00357286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минимальное значение показателя </w:t>
      </w:r>
      <w:r w:rsidR="00605C8E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741F89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</w:t>
      </w:r>
      <w:r w:rsidR="00605C8E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-го </w:t>
      </w:r>
      <w:r w:rsidR="00E6765B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ИОГВ РТ</w:t>
      </w:r>
      <w:r w:rsidR="00357286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7286" w:rsidRPr="00025D2A" w:rsidRDefault="003450A9" w:rsidP="00357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i макс</m:t>
            </m:r>
          </m:sub>
        </m:sSub>
      </m:oMath>
      <w:r w:rsidR="00357286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максимальное значение показателя </w:t>
      </w:r>
      <w:r w:rsidR="00605C8E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741F89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</w:t>
      </w:r>
      <w:r w:rsidR="00605C8E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-го </w:t>
      </w:r>
      <w:r w:rsidR="00E6765B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ИОГВ РТ</w:t>
      </w:r>
      <w:r w:rsidR="00357286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3258" w:rsidRDefault="00D63258" w:rsidP="00357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286" w:rsidRPr="00025D2A" w:rsidRDefault="00357286" w:rsidP="00357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Числовые значения обратных показателей (положительная динамика определяется уменьшением значения показателя) переводятся в нормированные значения по формуле:</w:t>
      </w:r>
    </w:p>
    <w:p w:rsidR="00357286" w:rsidRPr="00025D2A" w:rsidRDefault="003450A9" w:rsidP="00357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i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норм</m:t>
              </m:r>
            </m:sup>
          </m:sSub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=1-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i мин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i макс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i мин</m:t>
                  </m:r>
                </m:sub>
              </m:sSub>
            </m:den>
          </m:f>
        </m:oMath>
      </m:oMathPara>
    </w:p>
    <w:p w:rsidR="00A229DD" w:rsidRDefault="00A229DD" w:rsidP="00A229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743" w:rsidRPr="006B7C22" w:rsidRDefault="006B7C22" w:rsidP="00A229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2A">
        <w:rPr>
          <w:rFonts w:ascii="Times New Roman" w:hAnsi="Times New Roman" w:cs="Times New Roman"/>
          <w:sz w:val="28"/>
          <w:szCs w:val="28"/>
        </w:rPr>
        <w:t>Как видно из приведенных выше формул</w:t>
      </w:r>
      <w:r w:rsidR="00C41A1F" w:rsidRPr="00025D2A">
        <w:rPr>
          <w:rFonts w:ascii="Times New Roman" w:hAnsi="Times New Roman" w:cs="Times New Roman"/>
          <w:sz w:val="28"/>
          <w:szCs w:val="28"/>
        </w:rPr>
        <w:t>,</w:t>
      </w:r>
      <w:r w:rsidRPr="00025D2A">
        <w:rPr>
          <w:rFonts w:ascii="Times New Roman" w:hAnsi="Times New Roman" w:cs="Times New Roman"/>
          <w:sz w:val="28"/>
          <w:szCs w:val="28"/>
        </w:rPr>
        <w:t xml:space="preserve"> индексом «</w:t>
      </w:r>
      <w:proofErr w:type="spellStart"/>
      <w:r w:rsidR="00025D2A" w:rsidRPr="00025D2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25D2A">
        <w:rPr>
          <w:rFonts w:ascii="Times New Roman" w:hAnsi="Times New Roman" w:cs="Times New Roman"/>
          <w:sz w:val="28"/>
          <w:szCs w:val="28"/>
        </w:rPr>
        <w:t xml:space="preserve">» </w:t>
      </w:r>
      <w:r w:rsidR="005044AB" w:rsidRPr="00025D2A">
        <w:rPr>
          <w:rFonts w:ascii="Times New Roman" w:hAnsi="Times New Roman" w:cs="Times New Roman"/>
          <w:sz w:val="28"/>
          <w:szCs w:val="28"/>
        </w:rPr>
        <w:t>идентифицируется</w:t>
      </w:r>
      <w:r w:rsidRPr="00025D2A">
        <w:rPr>
          <w:rFonts w:ascii="Times New Roman" w:hAnsi="Times New Roman" w:cs="Times New Roman"/>
          <w:sz w:val="28"/>
          <w:szCs w:val="28"/>
        </w:rPr>
        <w:t xml:space="preserve"> все </w:t>
      </w:r>
      <w:r w:rsidR="005044AB" w:rsidRPr="00025D2A">
        <w:rPr>
          <w:rFonts w:ascii="Times New Roman" w:hAnsi="Times New Roman" w:cs="Times New Roman"/>
          <w:sz w:val="28"/>
          <w:szCs w:val="28"/>
        </w:rPr>
        <w:t>показатели</w:t>
      </w:r>
      <w:r w:rsidR="00025D2A" w:rsidRPr="00025D2A">
        <w:rPr>
          <w:rFonts w:ascii="Times New Roman" w:hAnsi="Times New Roman" w:cs="Times New Roman"/>
          <w:sz w:val="28"/>
          <w:szCs w:val="28"/>
        </w:rPr>
        <w:t xml:space="preserve"> для j-</w:t>
      </w:r>
      <w:proofErr w:type="spellStart"/>
      <w:r w:rsidR="00025D2A" w:rsidRPr="00025D2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25D2A">
        <w:rPr>
          <w:rFonts w:ascii="Times New Roman" w:hAnsi="Times New Roman" w:cs="Times New Roman"/>
          <w:sz w:val="28"/>
          <w:szCs w:val="28"/>
        </w:rPr>
        <w:t xml:space="preserve"> ИОГВ</w:t>
      </w:r>
      <w:r w:rsidR="008324B6" w:rsidRPr="008324B6">
        <w:rPr>
          <w:rFonts w:ascii="Times New Roman" w:hAnsi="Times New Roman" w:cs="Times New Roman"/>
          <w:sz w:val="28"/>
          <w:szCs w:val="28"/>
        </w:rPr>
        <w:t xml:space="preserve"> </w:t>
      </w:r>
      <w:r w:rsidR="008324B6">
        <w:rPr>
          <w:rFonts w:ascii="Times New Roman" w:hAnsi="Times New Roman" w:cs="Times New Roman"/>
          <w:sz w:val="28"/>
          <w:szCs w:val="28"/>
        </w:rPr>
        <w:t>РТ, поэтому предельн</w:t>
      </w:r>
      <w:r w:rsidR="00FC2D08">
        <w:rPr>
          <w:rFonts w:ascii="Times New Roman" w:hAnsi="Times New Roman" w:cs="Times New Roman"/>
          <w:sz w:val="28"/>
          <w:szCs w:val="28"/>
        </w:rPr>
        <w:t>ые</w:t>
      </w:r>
      <w:r w:rsidR="008324B6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FC2D08">
        <w:rPr>
          <w:rFonts w:ascii="Times New Roman" w:hAnsi="Times New Roman" w:cs="Times New Roman"/>
          <w:sz w:val="28"/>
          <w:szCs w:val="28"/>
        </w:rPr>
        <w:t>я</w:t>
      </w:r>
      <w:r w:rsidRPr="00025D2A">
        <w:rPr>
          <w:rFonts w:ascii="Times New Roman" w:hAnsi="Times New Roman" w:cs="Times New Roman"/>
          <w:sz w:val="28"/>
          <w:szCs w:val="28"/>
        </w:rPr>
        <w:t xml:space="preserve"> </w:t>
      </w:r>
      <w:r w:rsidR="005044AB" w:rsidRPr="00025D2A">
        <w:rPr>
          <w:rFonts w:ascii="Times New Roman" w:hAnsi="Times New Roman" w:cs="Times New Roman"/>
          <w:sz w:val="28"/>
          <w:szCs w:val="28"/>
        </w:rPr>
        <w:t>показателей</w:t>
      </w:r>
      <w:r w:rsidRPr="00025D2A">
        <w:rPr>
          <w:rFonts w:ascii="Times New Roman" w:hAnsi="Times New Roman" w:cs="Times New Roman"/>
          <w:sz w:val="28"/>
          <w:szCs w:val="28"/>
        </w:rPr>
        <w:t xml:space="preserve"> различн</w:t>
      </w:r>
      <w:r w:rsidR="00FC2D08">
        <w:rPr>
          <w:rFonts w:ascii="Times New Roman" w:hAnsi="Times New Roman" w:cs="Times New Roman"/>
          <w:sz w:val="28"/>
          <w:szCs w:val="28"/>
        </w:rPr>
        <w:t>ы</w:t>
      </w:r>
      <w:r w:rsidRPr="00025D2A">
        <w:rPr>
          <w:rFonts w:ascii="Times New Roman" w:hAnsi="Times New Roman" w:cs="Times New Roman"/>
          <w:sz w:val="28"/>
          <w:szCs w:val="28"/>
        </w:rPr>
        <w:t xml:space="preserve"> для </w:t>
      </w:r>
      <w:r w:rsidR="006D54AD" w:rsidRPr="00025D2A">
        <w:rPr>
          <w:rFonts w:ascii="Times New Roman" w:hAnsi="Times New Roman" w:cs="Times New Roman"/>
          <w:sz w:val="28"/>
          <w:szCs w:val="28"/>
        </w:rPr>
        <w:t>конкр</w:t>
      </w:r>
      <w:r w:rsidR="006D54AD">
        <w:rPr>
          <w:rFonts w:ascii="Times New Roman" w:hAnsi="Times New Roman" w:cs="Times New Roman"/>
          <w:sz w:val="28"/>
          <w:szCs w:val="28"/>
        </w:rPr>
        <w:t>е</w:t>
      </w:r>
      <w:r w:rsidR="006D54AD" w:rsidRPr="00025D2A">
        <w:rPr>
          <w:rFonts w:ascii="Times New Roman" w:hAnsi="Times New Roman" w:cs="Times New Roman"/>
          <w:sz w:val="28"/>
          <w:szCs w:val="28"/>
        </w:rPr>
        <w:t>тного</w:t>
      </w:r>
      <w:r w:rsidRPr="00025D2A">
        <w:rPr>
          <w:rFonts w:ascii="Times New Roman" w:hAnsi="Times New Roman" w:cs="Times New Roman"/>
          <w:sz w:val="28"/>
          <w:szCs w:val="28"/>
        </w:rPr>
        <w:t xml:space="preserve"> ИОГВ</w:t>
      </w:r>
      <w:r w:rsidR="006D54AD">
        <w:rPr>
          <w:rFonts w:ascii="Times New Roman" w:hAnsi="Times New Roman" w:cs="Times New Roman"/>
          <w:sz w:val="28"/>
          <w:szCs w:val="28"/>
        </w:rPr>
        <w:t xml:space="preserve"> РТ</w:t>
      </w:r>
      <w:r w:rsidR="00CC7248" w:rsidRPr="00025D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C22" w:rsidRDefault="006B7C22" w:rsidP="00F20743"/>
    <w:p w:rsidR="008324B6" w:rsidRPr="00F20743" w:rsidRDefault="008324B6" w:rsidP="00F20743"/>
    <w:p w:rsidR="00357286" w:rsidRPr="00605C8E" w:rsidRDefault="008324B6" w:rsidP="00BC0FC1">
      <w:pPr>
        <w:pStyle w:val="1"/>
        <w:ind w:left="73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110430077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2.2</w:t>
      </w:r>
      <w:r w:rsidR="00C41A1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AD4D7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6765B" w:rsidRPr="00605C8E">
        <w:rPr>
          <w:rFonts w:ascii="Times New Roman" w:hAnsi="Times New Roman" w:cs="Times New Roman"/>
          <w:b/>
          <w:color w:val="auto"/>
          <w:sz w:val="28"/>
          <w:szCs w:val="28"/>
        </w:rPr>
        <w:t>Применение весовых коэффициентов</w:t>
      </w:r>
      <w:bookmarkEnd w:id="4"/>
    </w:p>
    <w:p w:rsidR="00E6765B" w:rsidRPr="00605C8E" w:rsidRDefault="00E6765B" w:rsidP="00357286">
      <w:pPr>
        <w:spacing w:after="0" w:line="360" w:lineRule="auto"/>
        <w:ind w:firstLine="48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6765B" w:rsidRPr="00605C8E" w:rsidRDefault="005044AB" w:rsidP="00E67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было отмечено выше, в</w:t>
      </w:r>
      <w:r w:rsidR="00E6765B" w:rsidRPr="00605C8E">
        <w:rPr>
          <w:rFonts w:ascii="Times New Roman" w:hAnsi="Times New Roman" w:cs="Times New Roman"/>
          <w:sz w:val="28"/>
          <w:szCs w:val="28"/>
        </w:rPr>
        <w:t>есовой коэффициент - числовой коэффициент, параметр, отражающий значимость, относительную важность, «вес» показателя в сравнении с другими показателями, оказывающими влияние на изучаемый процесс.</w:t>
      </w:r>
    </w:p>
    <w:p w:rsidR="0018468D" w:rsidRDefault="005044AB" w:rsidP="001846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</w:t>
      </w:r>
      <w:r w:rsidR="00E6765B" w:rsidRPr="00605C8E">
        <w:rPr>
          <w:rFonts w:ascii="Times New Roman" w:hAnsi="Times New Roman" w:cs="Times New Roman"/>
          <w:sz w:val="28"/>
          <w:szCs w:val="28"/>
        </w:rPr>
        <w:t>аждо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E6765B" w:rsidRPr="00605C8E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6765B" w:rsidRPr="00605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</w:t>
      </w:r>
      <w:r w:rsidR="007976B1">
        <w:rPr>
          <w:rFonts w:ascii="Times New Roman" w:hAnsi="Times New Roman" w:cs="Times New Roman"/>
          <w:sz w:val="28"/>
          <w:szCs w:val="28"/>
        </w:rPr>
        <w:t>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задания конкретного </w:t>
      </w:r>
      <w:r w:rsidR="007976B1">
        <w:rPr>
          <w:rFonts w:ascii="Times New Roman" w:hAnsi="Times New Roman" w:cs="Times New Roman"/>
          <w:sz w:val="28"/>
          <w:szCs w:val="28"/>
        </w:rPr>
        <w:t>ИОГВ</w:t>
      </w:r>
      <w:r>
        <w:rPr>
          <w:rFonts w:ascii="Times New Roman" w:hAnsi="Times New Roman" w:cs="Times New Roman"/>
          <w:sz w:val="28"/>
          <w:szCs w:val="28"/>
        </w:rPr>
        <w:t xml:space="preserve"> РТ </w:t>
      </w:r>
      <w:r w:rsidR="00F81806">
        <w:rPr>
          <w:rFonts w:ascii="Times New Roman" w:hAnsi="Times New Roman" w:cs="Times New Roman"/>
          <w:sz w:val="28"/>
          <w:szCs w:val="28"/>
        </w:rPr>
        <w:t>определяется</w:t>
      </w:r>
      <w:r w:rsidR="00E6765B" w:rsidRPr="00605C8E">
        <w:rPr>
          <w:rFonts w:ascii="Times New Roman" w:hAnsi="Times New Roman" w:cs="Times New Roman"/>
          <w:sz w:val="28"/>
          <w:szCs w:val="28"/>
        </w:rPr>
        <w:t xml:space="preserve"> весовой </w:t>
      </w:r>
      <w:r w:rsidRPr="00605C8E">
        <w:rPr>
          <w:rFonts w:ascii="Times New Roman" w:hAnsi="Times New Roman" w:cs="Times New Roman"/>
          <w:sz w:val="28"/>
          <w:szCs w:val="28"/>
        </w:rPr>
        <w:t>коэффициент.</w:t>
      </w:r>
      <w:r w:rsidR="00C41A1F">
        <w:rPr>
          <w:rFonts w:ascii="Times New Roman" w:hAnsi="Times New Roman" w:cs="Times New Roman"/>
          <w:sz w:val="28"/>
          <w:szCs w:val="28"/>
        </w:rPr>
        <w:t xml:space="preserve"> Диапазон значений весовых коэффициентов может быть любым.</w:t>
      </w:r>
      <w:r>
        <w:rPr>
          <w:rFonts w:ascii="Times New Roman" w:hAnsi="Times New Roman" w:cs="Times New Roman"/>
          <w:sz w:val="28"/>
          <w:szCs w:val="28"/>
        </w:rPr>
        <w:t xml:space="preserve"> В данн</w:t>
      </w:r>
      <w:r w:rsidR="00E6765B" w:rsidRPr="00605C8E">
        <w:rPr>
          <w:rFonts w:ascii="Times New Roman" w:hAnsi="Times New Roman" w:cs="Times New Roman"/>
          <w:sz w:val="28"/>
          <w:szCs w:val="28"/>
        </w:rPr>
        <w:t>о</w:t>
      </w:r>
      <w:r w:rsidR="00F81806">
        <w:rPr>
          <w:rFonts w:ascii="Times New Roman" w:hAnsi="Times New Roman" w:cs="Times New Roman"/>
          <w:sz w:val="28"/>
          <w:szCs w:val="28"/>
        </w:rPr>
        <w:t>й М</w:t>
      </w:r>
      <w:r>
        <w:rPr>
          <w:rFonts w:ascii="Times New Roman" w:hAnsi="Times New Roman" w:cs="Times New Roman"/>
          <w:sz w:val="28"/>
          <w:szCs w:val="28"/>
        </w:rPr>
        <w:t>етодике используется диапазон значений весовых коэффициентов о</w:t>
      </w:r>
      <w:r w:rsidR="00E6765B" w:rsidRPr="00605C8E">
        <w:rPr>
          <w:rFonts w:ascii="Times New Roman" w:hAnsi="Times New Roman" w:cs="Times New Roman"/>
          <w:sz w:val="28"/>
          <w:szCs w:val="28"/>
        </w:rPr>
        <w:t>т 1 до 9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765B" w:rsidRPr="00605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6765B" w:rsidRPr="00605C8E">
        <w:rPr>
          <w:rFonts w:ascii="Times New Roman" w:hAnsi="Times New Roman" w:cs="Times New Roman"/>
          <w:sz w:val="28"/>
          <w:szCs w:val="28"/>
        </w:rPr>
        <w:t>начения коэффициентов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экспертом </w:t>
      </w:r>
      <w:r w:rsidR="007976B1">
        <w:rPr>
          <w:rFonts w:ascii="Times New Roman" w:hAnsi="Times New Roman" w:cs="Times New Roman"/>
          <w:sz w:val="28"/>
          <w:szCs w:val="28"/>
        </w:rPr>
        <w:t>Министерства экономики Республики Татарстан</w:t>
      </w:r>
      <w:r w:rsidR="0018468D">
        <w:rPr>
          <w:rFonts w:ascii="Times New Roman" w:hAnsi="Times New Roman" w:cs="Times New Roman"/>
          <w:sz w:val="28"/>
          <w:szCs w:val="28"/>
        </w:rPr>
        <w:t>.</w:t>
      </w:r>
      <w:r w:rsidR="00E6765B" w:rsidRPr="00605C8E">
        <w:rPr>
          <w:rFonts w:ascii="Times New Roman" w:hAnsi="Times New Roman" w:cs="Times New Roman"/>
          <w:sz w:val="28"/>
          <w:szCs w:val="28"/>
        </w:rPr>
        <w:t xml:space="preserve"> </w:t>
      </w:r>
      <w:r w:rsidR="00CC7248">
        <w:rPr>
          <w:rFonts w:ascii="Times New Roman" w:hAnsi="Times New Roman" w:cs="Times New Roman"/>
          <w:sz w:val="28"/>
          <w:szCs w:val="28"/>
        </w:rPr>
        <w:t xml:space="preserve">Каждый показатель, </w:t>
      </w:r>
      <w:r w:rsidR="007976B1">
        <w:rPr>
          <w:rFonts w:ascii="Times New Roman" w:hAnsi="Times New Roman" w:cs="Times New Roman"/>
          <w:sz w:val="28"/>
          <w:szCs w:val="28"/>
        </w:rPr>
        <w:t>если он включается в состав государственного задания</w:t>
      </w:r>
      <w:r w:rsidR="00CC7248">
        <w:rPr>
          <w:rFonts w:ascii="Times New Roman" w:hAnsi="Times New Roman" w:cs="Times New Roman"/>
          <w:sz w:val="28"/>
          <w:szCs w:val="28"/>
        </w:rPr>
        <w:t xml:space="preserve"> нескольких ИОГВ</w:t>
      </w:r>
      <w:r w:rsidR="007976B1">
        <w:rPr>
          <w:rFonts w:ascii="Times New Roman" w:hAnsi="Times New Roman" w:cs="Times New Roman"/>
          <w:sz w:val="28"/>
          <w:szCs w:val="28"/>
        </w:rPr>
        <w:t xml:space="preserve"> РТ</w:t>
      </w:r>
      <w:r w:rsidR="00CC7248">
        <w:rPr>
          <w:rFonts w:ascii="Times New Roman" w:hAnsi="Times New Roman" w:cs="Times New Roman"/>
          <w:sz w:val="28"/>
          <w:szCs w:val="28"/>
        </w:rPr>
        <w:t>, может иметь раз</w:t>
      </w:r>
      <w:r w:rsidR="00C41A1F">
        <w:rPr>
          <w:rFonts w:ascii="Times New Roman" w:hAnsi="Times New Roman" w:cs="Times New Roman"/>
          <w:sz w:val="28"/>
          <w:szCs w:val="28"/>
        </w:rPr>
        <w:t>личный</w:t>
      </w:r>
      <w:r w:rsidR="00CC7248">
        <w:rPr>
          <w:rFonts w:ascii="Times New Roman" w:hAnsi="Times New Roman" w:cs="Times New Roman"/>
          <w:sz w:val="28"/>
          <w:szCs w:val="28"/>
        </w:rPr>
        <w:t xml:space="preserve"> весовой коэф</w:t>
      </w:r>
      <w:r w:rsidR="007976B1">
        <w:rPr>
          <w:rFonts w:ascii="Times New Roman" w:hAnsi="Times New Roman" w:cs="Times New Roman"/>
          <w:sz w:val="28"/>
          <w:szCs w:val="28"/>
        </w:rPr>
        <w:t>фициент</w:t>
      </w:r>
      <w:r w:rsidR="00CC7248">
        <w:rPr>
          <w:rFonts w:ascii="Times New Roman" w:hAnsi="Times New Roman" w:cs="Times New Roman"/>
          <w:sz w:val="28"/>
          <w:szCs w:val="28"/>
        </w:rPr>
        <w:t xml:space="preserve"> и соответственно различные пороговые значения</w:t>
      </w:r>
      <w:r w:rsidR="00F81806">
        <w:rPr>
          <w:rFonts w:ascii="Times New Roman" w:hAnsi="Times New Roman" w:cs="Times New Roman"/>
          <w:sz w:val="28"/>
          <w:szCs w:val="28"/>
        </w:rPr>
        <w:t>.</w:t>
      </w:r>
    </w:p>
    <w:p w:rsidR="0018468D" w:rsidRDefault="0018468D" w:rsidP="00C954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BA9" w:rsidRPr="005F292A" w:rsidRDefault="002F5BA9" w:rsidP="005F292A">
      <w:pPr>
        <w:pStyle w:val="a4"/>
        <w:numPr>
          <w:ilvl w:val="0"/>
          <w:numId w:val="4"/>
        </w:num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Toc110430078"/>
      <w:r w:rsidRPr="005F292A"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r w:rsidR="009A5229" w:rsidRPr="005F292A">
        <w:rPr>
          <w:rFonts w:ascii="Times New Roman" w:hAnsi="Times New Roman" w:cs="Times New Roman"/>
          <w:b/>
          <w:sz w:val="28"/>
          <w:szCs w:val="28"/>
        </w:rPr>
        <w:t>интегрального</w:t>
      </w:r>
      <w:r w:rsidR="00074AEE" w:rsidRPr="005F292A">
        <w:rPr>
          <w:rFonts w:ascii="Times New Roman" w:hAnsi="Times New Roman" w:cs="Times New Roman"/>
          <w:b/>
          <w:sz w:val="28"/>
          <w:szCs w:val="28"/>
        </w:rPr>
        <w:t xml:space="preserve"> индекса</w:t>
      </w:r>
      <w:r w:rsidR="003953A7" w:rsidRPr="005F292A">
        <w:rPr>
          <w:rFonts w:ascii="Times New Roman" w:hAnsi="Times New Roman" w:cs="Times New Roman"/>
          <w:b/>
          <w:sz w:val="28"/>
          <w:szCs w:val="28"/>
        </w:rPr>
        <w:t xml:space="preserve"> рейтинга</w:t>
      </w:r>
      <w:bookmarkEnd w:id="5"/>
    </w:p>
    <w:p w:rsidR="00DE799C" w:rsidRPr="00605C8E" w:rsidRDefault="00DE799C" w:rsidP="002F5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68D" w:rsidRPr="00C95445" w:rsidRDefault="0018468D" w:rsidP="001846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5">
        <w:rPr>
          <w:rFonts w:ascii="Times New Roman" w:hAnsi="Times New Roman" w:cs="Times New Roman"/>
          <w:sz w:val="28"/>
          <w:szCs w:val="28"/>
        </w:rPr>
        <w:t xml:space="preserve">Для расчета интегрального показателя для </w:t>
      </w:r>
      <w:r w:rsidR="00C95445" w:rsidRPr="00C954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</w:t>
      </w:r>
      <w:r w:rsidR="00C95445" w:rsidRPr="00C95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-го </w:t>
      </w:r>
      <w:r w:rsidRPr="00C95445">
        <w:rPr>
          <w:rFonts w:ascii="Times New Roman" w:hAnsi="Times New Roman" w:cs="Times New Roman"/>
          <w:sz w:val="28"/>
          <w:szCs w:val="28"/>
        </w:rPr>
        <w:t>ИОГВ</w:t>
      </w:r>
      <w:r w:rsidR="00C95445" w:rsidRPr="00C95445">
        <w:rPr>
          <w:rFonts w:ascii="Times New Roman" w:hAnsi="Times New Roman" w:cs="Times New Roman"/>
          <w:sz w:val="28"/>
          <w:szCs w:val="28"/>
        </w:rPr>
        <w:t xml:space="preserve"> РТ</w:t>
      </w:r>
      <w:r w:rsidRPr="00C95445">
        <w:rPr>
          <w:rFonts w:ascii="Times New Roman" w:hAnsi="Times New Roman" w:cs="Times New Roman"/>
          <w:sz w:val="28"/>
          <w:szCs w:val="28"/>
        </w:rPr>
        <w:t xml:space="preserve"> осуществляется расчет значения показателя с учетом весового коэффициента по формуле:</w:t>
      </w:r>
    </w:p>
    <w:p w:rsidR="0018468D" w:rsidRPr="00C95445" w:rsidRDefault="003450A9" w:rsidP="001846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i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н.вес</m:t>
              </m:r>
            </m:sup>
          </m:sSub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=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i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норм</m:t>
              </m:r>
            </m:sup>
          </m:sSub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 х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i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8"/>
                          <w:szCs w:val="28"/>
                          <w:lang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val="en-US" w:eastAsia="ru-RU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8"/>
                              <w:szCs w:val="28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nary>
                </m:den>
              </m:f>
            </m:e>
          </m:d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,</m:t>
          </m:r>
        </m:oMath>
      </m:oMathPara>
    </w:p>
    <w:p w:rsidR="0018468D" w:rsidRPr="00C95445" w:rsidRDefault="0018468D" w:rsidP="001846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5">
        <w:rPr>
          <w:rFonts w:ascii="Times New Roman" w:hAnsi="Times New Roman" w:cs="Times New Roman"/>
          <w:sz w:val="28"/>
          <w:szCs w:val="28"/>
        </w:rPr>
        <w:t>где:</w:t>
      </w:r>
    </w:p>
    <w:p w:rsidR="0018468D" w:rsidRPr="00C95445" w:rsidRDefault="0018468D" w:rsidP="001846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4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95445">
        <w:rPr>
          <w:rFonts w:ascii="Times New Roman" w:hAnsi="Times New Roman" w:cs="Times New Roman"/>
          <w:sz w:val="28"/>
          <w:szCs w:val="28"/>
        </w:rPr>
        <w:t xml:space="preserve"> -</w:t>
      </w:r>
      <w:r w:rsidR="00D30494">
        <w:rPr>
          <w:rFonts w:ascii="Times New Roman" w:hAnsi="Times New Roman" w:cs="Times New Roman"/>
          <w:sz w:val="28"/>
          <w:szCs w:val="28"/>
        </w:rPr>
        <w:t xml:space="preserve"> количество показателей, уставленных д</w:t>
      </w:r>
      <w:r w:rsidRPr="00C95445">
        <w:rPr>
          <w:rFonts w:ascii="Times New Roman" w:hAnsi="Times New Roman" w:cs="Times New Roman"/>
          <w:sz w:val="28"/>
          <w:szCs w:val="28"/>
        </w:rPr>
        <w:t>ля конкретного ИОГВ</w:t>
      </w:r>
      <w:r w:rsidR="00D30494">
        <w:rPr>
          <w:rFonts w:ascii="Times New Roman" w:hAnsi="Times New Roman" w:cs="Times New Roman"/>
          <w:sz w:val="28"/>
          <w:szCs w:val="28"/>
        </w:rPr>
        <w:t xml:space="preserve"> РТ;</w:t>
      </w:r>
    </w:p>
    <w:p w:rsidR="0018468D" w:rsidRPr="00C95445" w:rsidRDefault="003450A9" w:rsidP="0018468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н.вес</m:t>
            </m:r>
          </m:sup>
        </m:sSubSup>
      </m:oMath>
      <w:r w:rsidR="0018468D" w:rsidRPr="00C9544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– нормированный показатель </w:t>
      </w:r>
      <w:r w:rsidR="00D30494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</w:t>
      </w:r>
      <w:r w:rsidR="00D30494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-го </w:t>
      </w:r>
      <w:r w:rsidR="0018468D" w:rsidRPr="00C95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ИОГВ РТ</w:t>
      </w:r>
      <w:r w:rsidR="0018468D" w:rsidRPr="00C9544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18468D" w:rsidRPr="00C95445" w:rsidRDefault="003450A9" w:rsidP="0018468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i</m:t>
            </m:r>
          </m:sub>
        </m:sSub>
      </m:oMath>
      <w:r w:rsidR="0018468D" w:rsidRPr="00C9544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весовой коэффициент для нормированного показателя </w:t>
      </w:r>
      <w:r w:rsidR="00D30494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</w:t>
      </w:r>
      <w:r w:rsidR="00D30494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-го </w:t>
      </w:r>
      <w:r w:rsidR="0018468D" w:rsidRPr="00C95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ИОГВ РТ;</w:t>
      </w:r>
    </w:p>
    <w:p w:rsidR="0018468D" w:rsidRPr="001F49A4" w:rsidRDefault="0018468D" w:rsidP="001F49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44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i</m:t>
                </m:r>
              </m:sub>
            </m:sSub>
          </m:e>
        </m:nary>
      </m:oMath>
      <w:r w:rsidRPr="00C9544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сумма весовых коэффициентов всех нормированных показателей </w:t>
      </w:r>
      <w:r w:rsidR="00D30494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</w:t>
      </w:r>
      <w:r w:rsidR="00D30494" w:rsidRPr="00025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-го </w:t>
      </w:r>
      <w:r w:rsidRPr="00C95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ИОГВ РТ.</w:t>
      </w:r>
    </w:p>
    <w:p w:rsidR="00D63258" w:rsidRDefault="00D63258" w:rsidP="002F5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BE8" w:rsidRDefault="006F10F0" w:rsidP="002F5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="00437BE8">
        <w:rPr>
          <w:rFonts w:ascii="Times New Roman" w:hAnsi="Times New Roman" w:cs="Times New Roman"/>
          <w:sz w:val="28"/>
          <w:szCs w:val="28"/>
        </w:rPr>
        <w:t xml:space="preserve"> приводится пример иллюстративного расчета для трех условных ИОГВ</w:t>
      </w:r>
      <w:r w:rsidR="00F51992">
        <w:rPr>
          <w:rFonts w:ascii="Times New Roman" w:hAnsi="Times New Roman" w:cs="Times New Roman"/>
          <w:sz w:val="28"/>
          <w:szCs w:val="28"/>
        </w:rPr>
        <w:t xml:space="preserve"> РТ</w:t>
      </w:r>
      <w:r w:rsidR="00437BE8">
        <w:rPr>
          <w:rFonts w:ascii="Times New Roman" w:hAnsi="Times New Roman" w:cs="Times New Roman"/>
          <w:sz w:val="28"/>
          <w:szCs w:val="28"/>
        </w:rPr>
        <w:t xml:space="preserve">, фрагменты </w:t>
      </w:r>
      <w:r w:rsidR="00F5199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37BE8">
        <w:rPr>
          <w:rFonts w:ascii="Times New Roman" w:hAnsi="Times New Roman" w:cs="Times New Roman"/>
          <w:sz w:val="28"/>
          <w:szCs w:val="28"/>
        </w:rPr>
        <w:t xml:space="preserve"> зда</w:t>
      </w:r>
      <w:r w:rsidR="00671497">
        <w:rPr>
          <w:rFonts w:ascii="Times New Roman" w:hAnsi="Times New Roman" w:cs="Times New Roman"/>
          <w:sz w:val="28"/>
          <w:szCs w:val="28"/>
        </w:rPr>
        <w:t>ния</w:t>
      </w:r>
      <w:r w:rsidR="00F51992">
        <w:rPr>
          <w:rFonts w:ascii="Times New Roman" w:hAnsi="Times New Roman" w:cs="Times New Roman"/>
          <w:sz w:val="28"/>
          <w:szCs w:val="28"/>
        </w:rPr>
        <w:t xml:space="preserve"> которых приведены в </w:t>
      </w:r>
      <w:r w:rsidR="00180DD0">
        <w:rPr>
          <w:rFonts w:ascii="Times New Roman" w:hAnsi="Times New Roman" w:cs="Times New Roman"/>
          <w:sz w:val="28"/>
          <w:szCs w:val="28"/>
        </w:rPr>
        <w:t>т</w:t>
      </w:r>
      <w:r w:rsidR="00F51992">
        <w:rPr>
          <w:rFonts w:ascii="Times New Roman" w:hAnsi="Times New Roman" w:cs="Times New Roman"/>
          <w:sz w:val="28"/>
          <w:szCs w:val="28"/>
        </w:rPr>
        <w:t>аблице</w:t>
      </w:r>
      <w:r w:rsidR="00437BE8">
        <w:rPr>
          <w:rFonts w:ascii="Times New Roman" w:hAnsi="Times New Roman" w:cs="Times New Roman"/>
          <w:sz w:val="28"/>
          <w:szCs w:val="28"/>
        </w:rPr>
        <w:t xml:space="preserve"> 1 (на один год).</w:t>
      </w:r>
      <w:r w:rsidR="00A37BF1">
        <w:rPr>
          <w:rFonts w:ascii="Times New Roman" w:hAnsi="Times New Roman" w:cs="Times New Roman"/>
          <w:sz w:val="28"/>
          <w:szCs w:val="28"/>
        </w:rPr>
        <w:t xml:space="preserve"> </w:t>
      </w:r>
      <w:r w:rsidR="00A37BF1" w:rsidRPr="006F10F0">
        <w:rPr>
          <w:rFonts w:ascii="Times New Roman" w:hAnsi="Times New Roman" w:cs="Times New Roman"/>
          <w:sz w:val="28"/>
          <w:szCs w:val="28"/>
        </w:rPr>
        <w:t>Как видно из результатов выполненных расчетов</w:t>
      </w:r>
      <w:r w:rsidR="00F51992" w:rsidRPr="006F10F0">
        <w:rPr>
          <w:rFonts w:ascii="Times New Roman" w:hAnsi="Times New Roman" w:cs="Times New Roman"/>
          <w:sz w:val="28"/>
          <w:szCs w:val="28"/>
        </w:rPr>
        <w:t>,</w:t>
      </w:r>
      <w:r w:rsidR="00A37BF1" w:rsidRPr="006F10F0">
        <w:rPr>
          <w:rFonts w:ascii="Times New Roman" w:hAnsi="Times New Roman" w:cs="Times New Roman"/>
          <w:sz w:val="28"/>
          <w:szCs w:val="28"/>
        </w:rPr>
        <w:t xml:space="preserve"> первое место в рейтинге занимает Мин</w:t>
      </w:r>
      <w:r w:rsidRPr="006F10F0">
        <w:rPr>
          <w:rFonts w:ascii="Times New Roman" w:hAnsi="Times New Roman" w:cs="Times New Roman"/>
          <w:sz w:val="28"/>
          <w:szCs w:val="28"/>
        </w:rPr>
        <w:t xml:space="preserve">истерство </w:t>
      </w:r>
      <w:r w:rsidR="00A37BF1" w:rsidRPr="006F10F0">
        <w:rPr>
          <w:rFonts w:ascii="Times New Roman" w:hAnsi="Times New Roman" w:cs="Times New Roman"/>
          <w:sz w:val="28"/>
          <w:szCs w:val="28"/>
        </w:rPr>
        <w:t>эк</w:t>
      </w:r>
      <w:r w:rsidRPr="006F10F0">
        <w:rPr>
          <w:rFonts w:ascii="Times New Roman" w:hAnsi="Times New Roman" w:cs="Times New Roman"/>
          <w:sz w:val="28"/>
          <w:szCs w:val="28"/>
        </w:rPr>
        <w:t xml:space="preserve">ономики Республики Татарстан с индексом рейтинга 0,47, </w:t>
      </w:r>
      <w:r w:rsidRPr="006F10F0">
        <w:rPr>
          <w:rFonts w:ascii="Times New Roman" w:hAnsi="Times New Roman" w:cs="Times New Roman"/>
          <w:sz w:val="28"/>
          <w:szCs w:val="28"/>
        </w:rPr>
        <w:lastRenderedPageBreak/>
        <w:t xml:space="preserve">на втором месте Министерство строительства, архитектуры и </w:t>
      </w:r>
      <w:r w:rsidR="006E7B9B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6F10F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с индексом рейтинга 0,3 и на третьем месте </w:t>
      </w:r>
      <w:r w:rsidRPr="006F10F0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с индексом рейтинга 0,25.</w:t>
      </w:r>
    </w:p>
    <w:p w:rsidR="002F5BA9" w:rsidRPr="002F5BA9" w:rsidRDefault="002F5BA9" w:rsidP="002F5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BA9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A5229">
        <w:rPr>
          <w:rFonts w:ascii="Times New Roman" w:hAnsi="Times New Roman" w:cs="Times New Roman"/>
          <w:sz w:val="28"/>
          <w:szCs w:val="28"/>
        </w:rPr>
        <w:t>интегрального</w:t>
      </w:r>
      <w:r w:rsidR="00DE799C" w:rsidRPr="00605C8E">
        <w:rPr>
          <w:rFonts w:ascii="Times New Roman" w:hAnsi="Times New Roman" w:cs="Times New Roman"/>
          <w:sz w:val="28"/>
          <w:szCs w:val="28"/>
        </w:rPr>
        <w:t xml:space="preserve"> индекса</w:t>
      </w:r>
      <w:r w:rsidR="0018468D">
        <w:rPr>
          <w:rFonts w:ascii="Times New Roman" w:hAnsi="Times New Roman" w:cs="Times New Roman"/>
          <w:sz w:val="28"/>
          <w:szCs w:val="28"/>
        </w:rPr>
        <w:t xml:space="preserve"> рейтинга</w:t>
      </w:r>
      <w:r w:rsidRPr="002F5BA9">
        <w:rPr>
          <w:rFonts w:ascii="Times New Roman" w:hAnsi="Times New Roman" w:cs="Times New Roman"/>
          <w:sz w:val="28"/>
          <w:szCs w:val="28"/>
        </w:rPr>
        <w:t xml:space="preserve"> </w:t>
      </w:r>
      <w:r w:rsidR="008570FA" w:rsidRPr="00605C8E">
        <w:rPr>
          <w:rFonts w:ascii="Times New Roman" w:hAnsi="Times New Roman" w:cs="Times New Roman"/>
          <w:sz w:val="28"/>
          <w:szCs w:val="28"/>
        </w:rPr>
        <w:t>ИОГВ РТ</w:t>
      </w:r>
      <w:r w:rsidR="000F79DB">
        <w:rPr>
          <w:rFonts w:ascii="Times New Roman" w:hAnsi="Times New Roman" w:cs="Times New Roman"/>
          <w:sz w:val="28"/>
          <w:szCs w:val="28"/>
        </w:rPr>
        <w:t xml:space="preserve"> </w:t>
      </w:r>
      <w:r w:rsidRPr="002F5BA9">
        <w:rPr>
          <w:rFonts w:ascii="Times New Roman" w:hAnsi="Times New Roman" w:cs="Times New Roman"/>
          <w:sz w:val="28"/>
          <w:szCs w:val="28"/>
        </w:rPr>
        <w:t>осуществляется по формуле:</w:t>
      </w:r>
    </w:p>
    <w:p w:rsidR="002F5BA9" w:rsidRPr="002F5BA9" w:rsidRDefault="003450A9" w:rsidP="002F5B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i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инт</m:t>
              </m:r>
            </m:sup>
          </m:sSubSup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j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н.вес</m:t>
                  </m:r>
                </m:sup>
              </m:sSubSup>
            </m:e>
          </m:nary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,</m:t>
          </m:r>
        </m:oMath>
      </m:oMathPara>
    </w:p>
    <w:p w:rsidR="002F5BA9" w:rsidRPr="002F5BA9" w:rsidRDefault="002F5BA9" w:rsidP="002F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2F5BA9" w:rsidRPr="002F5BA9" w:rsidRDefault="003450A9" w:rsidP="002F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инт</m:t>
            </m:r>
          </m:sup>
        </m:sSubSup>
      </m:oMath>
      <w:r w:rsidR="00F31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502F" w:rsidRPr="00605C8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F5BA9" w:rsidRPr="002F5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69BD">
        <w:rPr>
          <w:rFonts w:ascii="Times New Roman" w:hAnsi="Times New Roman" w:cs="Times New Roman"/>
          <w:sz w:val="28"/>
          <w:szCs w:val="28"/>
        </w:rPr>
        <w:t>интегральный</w:t>
      </w:r>
      <w:r w:rsidR="00DE799C" w:rsidRPr="00605C8E">
        <w:rPr>
          <w:rFonts w:ascii="Times New Roman" w:hAnsi="Times New Roman" w:cs="Times New Roman"/>
          <w:sz w:val="28"/>
          <w:szCs w:val="28"/>
        </w:rPr>
        <w:t xml:space="preserve"> индекс</w:t>
      </w:r>
      <w:r w:rsidR="00437BE8">
        <w:rPr>
          <w:rFonts w:ascii="Times New Roman" w:hAnsi="Times New Roman" w:cs="Times New Roman"/>
          <w:sz w:val="28"/>
          <w:szCs w:val="28"/>
        </w:rPr>
        <w:t xml:space="preserve"> рейтинга</w:t>
      </w:r>
      <w:r w:rsidR="007D502F" w:rsidRPr="00605C8E">
        <w:rPr>
          <w:rFonts w:ascii="Times New Roman" w:hAnsi="Times New Roman" w:cs="Times New Roman"/>
          <w:sz w:val="28"/>
          <w:szCs w:val="28"/>
        </w:rPr>
        <w:t xml:space="preserve"> ИОГВ РТ</w:t>
      </w:r>
      <w:r w:rsidR="002F5BA9" w:rsidRPr="002F5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4A7" w:rsidRPr="00605C8E" w:rsidRDefault="002444A7" w:rsidP="003D7F08">
      <w:pPr>
        <w:spacing w:after="0" w:line="360" w:lineRule="auto"/>
        <w:ind w:firstLine="48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C612F" w:rsidRDefault="009A5468" w:rsidP="002C612F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установление весовых значений процессных показателей также опред</w:t>
      </w:r>
      <w:r w:rsidR="00E14266">
        <w:rPr>
          <w:rFonts w:ascii="Times New Roman" w:hAnsi="Times New Roman" w:cs="Times New Roman"/>
          <w:sz w:val="28"/>
          <w:szCs w:val="28"/>
        </w:rPr>
        <w:t>еляется</w:t>
      </w:r>
      <w:r>
        <w:rPr>
          <w:rFonts w:ascii="Times New Roman" w:hAnsi="Times New Roman" w:cs="Times New Roman"/>
          <w:sz w:val="28"/>
          <w:szCs w:val="28"/>
        </w:rPr>
        <w:t xml:space="preserve"> экспертом Мин</w:t>
      </w:r>
      <w:r w:rsidR="00E14266">
        <w:rPr>
          <w:rFonts w:ascii="Times New Roman" w:hAnsi="Times New Roman" w:cs="Times New Roman"/>
          <w:sz w:val="28"/>
          <w:szCs w:val="28"/>
        </w:rPr>
        <w:t>истерства экономики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уровня состояния исполн</w:t>
      </w:r>
      <w:r w:rsidR="00C41A1F">
        <w:rPr>
          <w:rFonts w:ascii="Times New Roman" w:hAnsi="Times New Roman" w:cs="Times New Roman"/>
          <w:sz w:val="28"/>
          <w:szCs w:val="28"/>
        </w:rPr>
        <w:t xml:space="preserve">ительской </w:t>
      </w:r>
      <w:r w:rsidR="00E14266">
        <w:rPr>
          <w:rFonts w:ascii="Times New Roman" w:hAnsi="Times New Roman" w:cs="Times New Roman"/>
          <w:sz w:val="28"/>
          <w:szCs w:val="28"/>
        </w:rPr>
        <w:t>дисциплины в</w:t>
      </w:r>
      <w:r w:rsidR="00D105B6">
        <w:rPr>
          <w:rFonts w:ascii="Times New Roman" w:hAnsi="Times New Roman" w:cs="Times New Roman"/>
          <w:sz w:val="28"/>
          <w:szCs w:val="28"/>
        </w:rPr>
        <w:t xml:space="preserve"> ИОГВ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266">
        <w:rPr>
          <w:rFonts w:ascii="Times New Roman" w:hAnsi="Times New Roman" w:cs="Times New Roman"/>
          <w:sz w:val="28"/>
          <w:szCs w:val="28"/>
        </w:rPr>
        <w:t xml:space="preserve">РТ </w:t>
      </w:r>
      <w:r>
        <w:rPr>
          <w:rFonts w:ascii="Times New Roman" w:hAnsi="Times New Roman" w:cs="Times New Roman"/>
          <w:sz w:val="28"/>
          <w:szCs w:val="28"/>
        </w:rPr>
        <w:t>и от поставленных перед ним задач на предстоящий период.</w:t>
      </w:r>
    </w:p>
    <w:p w:rsidR="00FC2D08" w:rsidRDefault="00FC2D08" w:rsidP="00FC2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уже было отмечено выше, аналогичное рейтингование может быть применено и к органам местного самоуправления на основе использования установленных для них показателей в </w:t>
      </w:r>
      <w:r w:rsidRPr="00A54EA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оглашении</w:t>
      </w:r>
      <w:r w:rsidRPr="00A54EAE">
        <w:rPr>
          <w:rFonts w:ascii="Times New Roman" w:hAnsi="Times New Roman" w:cs="Times New Roman"/>
          <w:sz w:val="28"/>
          <w:szCs w:val="28"/>
        </w:rPr>
        <w:t xml:space="preserve"> между Кабинетом Министров Республики Татарстан, Советом муниципальных образований Республики Татарстан и муниципальных районами (городскими округами)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ПКМ РТ №275.</w:t>
      </w:r>
    </w:p>
    <w:p w:rsidR="00FC2D08" w:rsidRPr="00605C8E" w:rsidRDefault="00FC2D08" w:rsidP="002C612F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C612F" w:rsidRPr="00605C8E" w:rsidRDefault="002C612F" w:rsidP="002C612F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C612F" w:rsidRDefault="002C612F" w:rsidP="002C612F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C612F" w:rsidRDefault="002C612F" w:rsidP="002C612F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C612F" w:rsidRDefault="002C612F" w:rsidP="002C612F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C612F" w:rsidRDefault="002C612F" w:rsidP="002C612F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C612F" w:rsidRDefault="002C612F" w:rsidP="002C612F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C612F" w:rsidRDefault="002C612F" w:rsidP="002C612F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2C612F" w:rsidSect="000121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0A9" w:rsidRDefault="003450A9" w:rsidP="00F02A72">
      <w:pPr>
        <w:spacing w:after="0" w:line="240" w:lineRule="auto"/>
      </w:pPr>
      <w:r>
        <w:separator/>
      </w:r>
    </w:p>
  </w:endnote>
  <w:endnote w:type="continuationSeparator" w:id="0">
    <w:p w:rsidR="003450A9" w:rsidRDefault="003450A9" w:rsidP="00F0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512778"/>
      <w:placeholder>
        <w:docPart w:val="81ABF28DA27B435492D2C91CF64C0894"/>
      </w:placeholder>
      <w:temporary/>
      <w:showingPlcHdr/>
      <w15:appearance w15:val="hidden"/>
    </w:sdtPr>
    <w:sdtEndPr/>
    <w:sdtContent>
      <w:p w:rsidR="000121B9" w:rsidRDefault="000121B9">
        <w:pPr>
          <w:pStyle w:val="a8"/>
        </w:pPr>
        <w:r>
          <w:t>[Введите текст]</w:t>
        </w:r>
      </w:p>
    </w:sdtContent>
  </w:sdt>
  <w:p w:rsidR="000121B9" w:rsidRDefault="000121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A72" w:rsidRDefault="00F02A72">
    <w:pPr>
      <w:pStyle w:val="a8"/>
      <w:jc w:val="center"/>
    </w:pPr>
  </w:p>
  <w:p w:rsidR="00F02A72" w:rsidRDefault="00F02A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0A9" w:rsidRDefault="003450A9" w:rsidP="00F02A72">
      <w:pPr>
        <w:spacing w:after="0" w:line="240" w:lineRule="auto"/>
      </w:pPr>
      <w:r>
        <w:separator/>
      </w:r>
    </w:p>
  </w:footnote>
  <w:footnote w:type="continuationSeparator" w:id="0">
    <w:p w:rsidR="003450A9" w:rsidRDefault="003450A9" w:rsidP="00F0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666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21B9" w:rsidRPr="000121B9" w:rsidRDefault="000121B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21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21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21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7F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21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7CA2" w:rsidRPr="00701BB0" w:rsidRDefault="00C07CA2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711B"/>
    <w:multiLevelType w:val="multilevel"/>
    <w:tmpl w:val="F93E7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94046D8"/>
    <w:multiLevelType w:val="hybridMultilevel"/>
    <w:tmpl w:val="22BCDBA4"/>
    <w:lvl w:ilvl="0" w:tplc="BAB2B06A">
      <w:start w:val="1"/>
      <w:numFmt w:val="decimal"/>
      <w:pStyle w:val="a"/>
      <w:lvlText w:val="%1.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" w15:restartNumberingAfterBreak="0">
    <w:nsid w:val="2B7F6516"/>
    <w:multiLevelType w:val="hybridMultilevel"/>
    <w:tmpl w:val="4212119E"/>
    <w:lvl w:ilvl="0" w:tplc="9A1A7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FF2346"/>
    <w:multiLevelType w:val="hybridMultilevel"/>
    <w:tmpl w:val="CF22D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C4658"/>
    <w:multiLevelType w:val="hybridMultilevel"/>
    <w:tmpl w:val="68364112"/>
    <w:lvl w:ilvl="0" w:tplc="6CF2E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D676F6"/>
    <w:multiLevelType w:val="hybridMultilevel"/>
    <w:tmpl w:val="A2D67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06"/>
    <w:rsid w:val="00001AD0"/>
    <w:rsid w:val="00003D72"/>
    <w:rsid w:val="00004F55"/>
    <w:rsid w:val="00005D73"/>
    <w:rsid w:val="000121B9"/>
    <w:rsid w:val="0002249E"/>
    <w:rsid w:val="00022724"/>
    <w:rsid w:val="000237DE"/>
    <w:rsid w:val="00025D2A"/>
    <w:rsid w:val="00027F13"/>
    <w:rsid w:val="00031B90"/>
    <w:rsid w:val="00041826"/>
    <w:rsid w:val="00043839"/>
    <w:rsid w:val="00051BED"/>
    <w:rsid w:val="000525AC"/>
    <w:rsid w:val="000554CA"/>
    <w:rsid w:val="000637FA"/>
    <w:rsid w:val="000748B7"/>
    <w:rsid w:val="00074AEE"/>
    <w:rsid w:val="000A7341"/>
    <w:rsid w:val="000B449A"/>
    <w:rsid w:val="000B4AB9"/>
    <w:rsid w:val="000C0D6E"/>
    <w:rsid w:val="000D33ED"/>
    <w:rsid w:val="000E2D37"/>
    <w:rsid w:val="000E586A"/>
    <w:rsid w:val="000E724F"/>
    <w:rsid w:val="000F773A"/>
    <w:rsid w:val="000F79DB"/>
    <w:rsid w:val="001158A6"/>
    <w:rsid w:val="0012077C"/>
    <w:rsid w:val="00121B03"/>
    <w:rsid w:val="00123E5E"/>
    <w:rsid w:val="0012444B"/>
    <w:rsid w:val="001378FA"/>
    <w:rsid w:val="001440C0"/>
    <w:rsid w:val="001467F7"/>
    <w:rsid w:val="001648B4"/>
    <w:rsid w:val="00165FB9"/>
    <w:rsid w:val="00171AB4"/>
    <w:rsid w:val="00172902"/>
    <w:rsid w:val="00172FB4"/>
    <w:rsid w:val="00180DD0"/>
    <w:rsid w:val="0018468D"/>
    <w:rsid w:val="00190008"/>
    <w:rsid w:val="0019421C"/>
    <w:rsid w:val="001A0246"/>
    <w:rsid w:val="001A4293"/>
    <w:rsid w:val="001A7DFE"/>
    <w:rsid w:val="001D201F"/>
    <w:rsid w:val="001D25F2"/>
    <w:rsid w:val="001E283F"/>
    <w:rsid w:val="001E3EB9"/>
    <w:rsid w:val="001F235D"/>
    <w:rsid w:val="001F49A4"/>
    <w:rsid w:val="001F4A73"/>
    <w:rsid w:val="002079C9"/>
    <w:rsid w:val="0021321A"/>
    <w:rsid w:val="00214831"/>
    <w:rsid w:val="0021525D"/>
    <w:rsid w:val="00220FD0"/>
    <w:rsid w:val="002217E4"/>
    <w:rsid w:val="00223321"/>
    <w:rsid w:val="00224FDC"/>
    <w:rsid w:val="00225B5F"/>
    <w:rsid w:val="00242F0C"/>
    <w:rsid w:val="002430A4"/>
    <w:rsid w:val="002444A7"/>
    <w:rsid w:val="00246A9B"/>
    <w:rsid w:val="00250902"/>
    <w:rsid w:val="00266D68"/>
    <w:rsid w:val="00267BCB"/>
    <w:rsid w:val="00270FA4"/>
    <w:rsid w:val="00271522"/>
    <w:rsid w:val="00272066"/>
    <w:rsid w:val="00283DFF"/>
    <w:rsid w:val="00285629"/>
    <w:rsid w:val="002933F0"/>
    <w:rsid w:val="002A0941"/>
    <w:rsid w:val="002B6939"/>
    <w:rsid w:val="002C37F7"/>
    <w:rsid w:val="002C612F"/>
    <w:rsid w:val="002D524D"/>
    <w:rsid w:val="002E376E"/>
    <w:rsid w:val="002F3AEB"/>
    <w:rsid w:val="002F5BA9"/>
    <w:rsid w:val="002F77D4"/>
    <w:rsid w:val="0030355B"/>
    <w:rsid w:val="003069F1"/>
    <w:rsid w:val="00310329"/>
    <w:rsid w:val="00316DC8"/>
    <w:rsid w:val="0032007D"/>
    <w:rsid w:val="00322BF6"/>
    <w:rsid w:val="00333517"/>
    <w:rsid w:val="003406D5"/>
    <w:rsid w:val="003450A9"/>
    <w:rsid w:val="003468DF"/>
    <w:rsid w:val="00347D8D"/>
    <w:rsid w:val="00352B41"/>
    <w:rsid w:val="00357286"/>
    <w:rsid w:val="00357521"/>
    <w:rsid w:val="0036252E"/>
    <w:rsid w:val="0036336E"/>
    <w:rsid w:val="00363910"/>
    <w:rsid w:val="00366573"/>
    <w:rsid w:val="0038776A"/>
    <w:rsid w:val="00394ADC"/>
    <w:rsid w:val="003953A7"/>
    <w:rsid w:val="003959A1"/>
    <w:rsid w:val="00397875"/>
    <w:rsid w:val="00397F65"/>
    <w:rsid w:val="003C68D9"/>
    <w:rsid w:val="003D6179"/>
    <w:rsid w:val="003D7513"/>
    <w:rsid w:val="003D7F08"/>
    <w:rsid w:val="003E2510"/>
    <w:rsid w:val="003E5E8C"/>
    <w:rsid w:val="003F6510"/>
    <w:rsid w:val="00400553"/>
    <w:rsid w:val="0040412E"/>
    <w:rsid w:val="00412524"/>
    <w:rsid w:val="00417606"/>
    <w:rsid w:val="004200A7"/>
    <w:rsid w:val="00426D65"/>
    <w:rsid w:val="00433751"/>
    <w:rsid w:val="00437BE8"/>
    <w:rsid w:val="00441CFB"/>
    <w:rsid w:val="00444B18"/>
    <w:rsid w:val="00447744"/>
    <w:rsid w:val="004513AC"/>
    <w:rsid w:val="00456E50"/>
    <w:rsid w:val="00460FAA"/>
    <w:rsid w:val="004675B3"/>
    <w:rsid w:val="00476116"/>
    <w:rsid w:val="00482319"/>
    <w:rsid w:val="004876F4"/>
    <w:rsid w:val="00487F93"/>
    <w:rsid w:val="00494636"/>
    <w:rsid w:val="00495A5C"/>
    <w:rsid w:val="004B1787"/>
    <w:rsid w:val="004B419A"/>
    <w:rsid w:val="004B4D96"/>
    <w:rsid w:val="004B5505"/>
    <w:rsid w:val="004B7FDD"/>
    <w:rsid w:val="004D403E"/>
    <w:rsid w:val="004E1BF8"/>
    <w:rsid w:val="004E552A"/>
    <w:rsid w:val="004F0C3D"/>
    <w:rsid w:val="004F2C47"/>
    <w:rsid w:val="004F6BA3"/>
    <w:rsid w:val="00500CDB"/>
    <w:rsid w:val="005044AB"/>
    <w:rsid w:val="00504FC8"/>
    <w:rsid w:val="00510916"/>
    <w:rsid w:val="00515706"/>
    <w:rsid w:val="00524167"/>
    <w:rsid w:val="005309E2"/>
    <w:rsid w:val="00530B7F"/>
    <w:rsid w:val="00536632"/>
    <w:rsid w:val="00547538"/>
    <w:rsid w:val="00547B2A"/>
    <w:rsid w:val="00551D42"/>
    <w:rsid w:val="00560784"/>
    <w:rsid w:val="0056144C"/>
    <w:rsid w:val="00561EF1"/>
    <w:rsid w:val="00565B51"/>
    <w:rsid w:val="00571B88"/>
    <w:rsid w:val="00573C82"/>
    <w:rsid w:val="005A578A"/>
    <w:rsid w:val="005A744F"/>
    <w:rsid w:val="005B045E"/>
    <w:rsid w:val="005B339E"/>
    <w:rsid w:val="005B5F76"/>
    <w:rsid w:val="005B6A9A"/>
    <w:rsid w:val="005C3BD8"/>
    <w:rsid w:val="005D5C6C"/>
    <w:rsid w:val="005E0134"/>
    <w:rsid w:val="005E7C44"/>
    <w:rsid w:val="005F292A"/>
    <w:rsid w:val="00605AF7"/>
    <w:rsid w:val="00605C8E"/>
    <w:rsid w:val="006107A4"/>
    <w:rsid w:val="00613172"/>
    <w:rsid w:val="00613223"/>
    <w:rsid w:val="006176C0"/>
    <w:rsid w:val="00626EC7"/>
    <w:rsid w:val="006315CD"/>
    <w:rsid w:val="00640747"/>
    <w:rsid w:val="00644AC2"/>
    <w:rsid w:val="006500CF"/>
    <w:rsid w:val="00650A62"/>
    <w:rsid w:val="00671497"/>
    <w:rsid w:val="00672287"/>
    <w:rsid w:val="00673521"/>
    <w:rsid w:val="00674C38"/>
    <w:rsid w:val="0068567D"/>
    <w:rsid w:val="0068777D"/>
    <w:rsid w:val="006A3A96"/>
    <w:rsid w:val="006A66E4"/>
    <w:rsid w:val="006B4BF5"/>
    <w:rsid w:val="006B7C22"/>
    <w:rsid w:val="006B7F38"/>
    <w:rsid w:val="006C4F75"/>
    <w:rsid w:val="006D54AD"/>
    <w:rsid w:val="006D7CC5"/>
    <w:rsid w:val="006E7B9B"/>
    <w:rsid w:val="006E7DF3"/>
    <w:rsid w:val="006F10F0"/>
    <w:rsid w:val="006F17B8"/>
    <w:rsid w:val="006F341F"/>
    <w:rsid w:val="006F4BE4"/>
    <w:rsid w:val="006F773A"/>
    <w:rsid w:val="007129E8"/>
    <w:rsid w:val="00720D3C"/>
    <w:rsid w:val="00723239"/>
    <w:rsid w:val="00733325"/>
    <w:rsid w:val="00741F89"/>
    <w:rsid w:val="00744DB3"/>
    <w:rsid w:val="00747F0A"/>
    <w:rsid w:val="00766AF0"/>
    <w:rsid w:val="0077733F"/>
    <w:rsid w:val="00784E44"/>
    <w:rsid w:val="007869B4"/>
    <w:rsid w:val="007976B1"/>
    <w:rsid w:val="007A4DF1"/>
    <w:rsid w:val="007C0F19"/>
    <w:rsid w:val="007D502F"/>
    <w:rsid w:val="007D6ABD"/>
    <w:rsid w:val="007E079C"/>
    <w:rsid w:val="007F1D7A"/>
    <w:rsid w:val="007F4FF8"/>
    <w:rsid w:val="008006E4"/>
    <w:rsid w:val="00805347"/>
    <w:rsid w:val="0081117F"/>
    <w:rsid w:val="0081157A"/>
    <w:rsid w:val="00816366"/>
    <w:rsid w:val="00817060"/>
    <w:rsid w:val="008208C3"/>
    <w:rsid w:val="00821C2F"/>
    <w:rsid w:val="00824008"/>
    <w:rsid w:val="008324B6"/>
    <w:rsid w:val="00841D61"/>
    <w:rsid w:val="00843710"/>
    <w:rsid w:val="008467D3"/>
    <w:rsid w:val="008508DC"/>
    <w:rsid w:val="008556E4"/>
    <w:rsid w:val="008570FA"/>
    <w:rsid w:val="0086165F"/>
    <w:rsid w:val="0089739F"/>
    <w:rsid w:val="008A5F38"/>
    <w:rsid w:val="008B1DC7"/>
    <w:rsid w:val="008B40A1"/>
    <w:rsid w:val="008C20BB"/>
    <w:rsid w:val="008C4423"/>
    <w:rsid w:val="008D44E3"/>
    <w:rsid w:val="008D63B8"/>
    <w:rsid w:val="008E061E"/>
    <w:rsid w:val="008E401F"/>
    <w:rsid w:val="008F75B8"/>
    <w:rsid w:val="00900799"/>
    <w:rsid w:val="00914D36"/>
    <w:rsid w:val="00926C39"/>
    <w:rsid w:val="00932810"/>
    <w:rsid w:val="00940017"/>
    <w:rsid w:val="00940AAB"/>
    <w:rsid w:val="00951562"/>
    <w:rsid w:val="00973F33"/>
    <w:rsid w:val="00980B40"/>
    <w:rsid w:val="009A304A"/>
    <w:rsid w:val="009A3D8A"/>
    <w:rsid w:val="009A5229"/>
    <w:rsid w:val="009A5468"/>
    <w:rsid w:val="009A74F8"/>
    <w:rsid w:val="009B7B54"/>
    <w:rsid w:val="009C163C"/>
    <w:rsid w:val="009D52F6"/>
    <w:rsid w:val="009E1EE4"/>
    <w:rsid w:val="009E7272"/>
    <w:rsid w:val="009F1E3D"/>
    <w:rsid w:val="009F2647"/>
    <w:rsid w:val="00A009D8"/>
    <w:rsid w:val="00A0330E"/>
    <w:rsid w:val="00A03A33"/>
    <w:rsid w:val="00A069BD"/>
    <w:rsid w:val="00A14330"/>
    <w:rsid w:val="00A15876"/>
    <w:rsid w:val="00A229DD"/>
    <w:rsid w:val="00A262D2"/>
    <w:rsid w:val="00A37BF1"/>
    <w:rsid w:val="00A41D1D"/>
    <w:rsid w:val="00A4794A"/>
    <w:rsid w:val="00A505D1"/>
    <w:rsid w:val="00A54CA4"/>
    <w:rsid w:val="00A54EAE"/>
    <w:rsid w:val="00A608EB"/>
    <w:rsid w:val="00A61809"/>
    <w:rsid w:val="00A67625"/>
    <w:rsid w:val="00A72E7A"/>
    <w:rsid w:val="00A73382"/>
    <w:rsid w:val="00A76888"/>
    <w:rsid w:val="00A92880"/>
    <w:rsid w:val="00A97B8A"/>
    <w:rsid w:val="00AA05DB"/>
    <w:rsid w:val="00AA5CD0"/>
    <w:rsid w:val="00AB13DE"/>
    <w:rsid w:val="00AB30D9"/>
    <w:rsid w:val="00AB3AB8"/>
    <w:rsid w:val="00AB3BCE"/>
    <w:rsid w:val="00AC02A7"/>
    <w:rsid w:val="00AC5825"/>
    <w:rsid w:val="00AC5EBE"/>
    <w:rsid w:val="00AC64EA"/>
    <w:rsid w:val="00AD1698"/>
    <w:rsid w:val="00AD4466"/>
    <w:rsid w:val="00AD4D78"/>
    <w:rsid w:val="00AE1160"/>
    <w:rsid w:val="00AE4BFF"/>
    <w:rsid w:val="00AE6B29"/>
    <w:rsid w:val="00B0796B"/>
    <w:rsid w:val="00B21BFA"/>
    <w:rsid w:val="00B22D5B"/>
    <w:rsid w:val="00B26ABD"/>
    <w:rsid w:val="00B27FE3"/>
    <w:rsid w:val="00B33820"/>
    <w:rsid w:val="00B411AD"/>
    <w:rsid w:val="00B50F7A"/>
    <w:rsid w:val="00B62235"/>
    <w:rsid w:val="00B70393"/>
    <w:rsid w:val="00B76F80"/>
    <w:rsid w:val="00B8073D"/>
    <w:rsid w:val="00B92DB3"/>
    <w:rsid w:val="00B9655C"/>
    <w:rsid w:val="00BA2839"/>
    <w:rsid w:val="00BA2D99"/>
    <w:rsid w:val="00BB20D5"/>
    <w:rsid w:val="00BB3D38"/>
    <w:rsid w:val="00BC0FC1"/>
    <w:rsid w:val="00BC28F0"/>
    <w:rsid w:val="00BC3013"/>
    <w:rsid w:val="00BC6261"/>
    <w:rsid w:val="00BD2716"/>
    <w:rsid w:val="00BE4AF3"/>
    <w:rsid w:val="00BE4CC7"/>
    <w:rsid w:val="00BE7489"/>
    <w:rsid w:val="00BF09CB"/>
    <w:rsid w:val="00BF122B"/>
    <w:rsid w:val="00BF12D9"/>
    <w:rsid w:val="00BF6141"/>
    <w:rsid w:val="00BF7086"/>
    <w:rsid w:val="00BF753D"/>
    <w:rsid w:val="00C07738"/>
    <w:rsid w:val="00C07CA2"/>
    <w:rsid w:val="00C1028F"/>
    <w:rsid w:val="00C30A0F"/>
    <w:rsid w:val="00C41A1F"/>
    <w:rsid w:val="00C42212"/>
    <w:rsid w:val="00C450CA"/>
    <w:rsid w:val="00C47131"/>
    <w:rsid w:val="00C554BA"/>
    <w:rsid w:val="00C563D6"/>
    <w:rsid w:val="00C61A09"/>
    <w:rsid w:val="00C630B1"/>
    <w:rsid w:val="00C66240"/>
    <w:rsid w:val="00C73DC8"/>
    <w:rsid w:val="00C74BE9"/>
    <w:rsid w:val="00C76623"/>
    <w:rsid w:val="00C76F64"/>
    <w:rsid w:val="00C86801"/>
    <w:rsid w:val="00C907F0"/>
    <w:rsid w:val="00C91E95"/>
    <w:rsid w:val="00C923EC"/>
    <w:rsid w:val="00C9502E"/>
    <w:rsid w:val="00C95445"/>
    <w:rsid w:val="00C97CC7"/>
    <w:rsid w:val="00CA13F7"/>
    <w:rsid w:val="00CA3F8C"/>
    <w:rsid w:val="00CB2782"/>
    <w:rsid w:val="00CC2D3C"/>
    <w:rsid w:val="00CC7248"/>
    <w:rsid w:val="00CD2020"/>
    <w:rsid w:val="00CD3E78"/>
    <w:rsid w:val="00CD56E8"/>
    <w:rsid w:val="00CD730A"/>
    <w:rsid w:val="00CE71D7"/>
    <w:rsid w:val="00CE71DF"/>
    <w:rsid w:val="00CF1A6E"/>
    <w:rsid w:val="00CF29DD"/>
    <w:rsid w:val="00CF70AC"/>
    <w:rsid w:val="00D00BA5"/>
    <w:rsid w:val="00D105B6"/>
    <w:rsid w:val="00D30494"/>
    <w:rsid w:val="00D375F1"/>
    <w:rsid w:val="00D40616"/>
    <w:rsid w:val="00D436A7"/>
    <w:rsid w:val="00D438D3"/>
    <w:rsid w:val="00D52191"/>
    <w:rsid w:val="00D55B5A"/>
    <w:rsid w:val="00D60A9B"/>
    <w:rsid w:val="00D63258"/>
    <w:rsid w:val="00D6457F"/>
    <w:rsid w:val="00D72752"/>
    <w:rsid w:val="00D730A6"/>
    <w:rsid w:val="00D85E19"/>
    <w:rsid w:val="00D878A2"/>
    <w:rsid w:val="00D93CD3"/>
    <w:rsid w:val="00D94C09"/>
    <w:rsid w:val="00D9515C"/>
    <w:rsid w:val="00DA07F9"/>
    <w:rsid w:val="00DA1269"/>
    <w:rsid w:val="00DB3A6D"/>
    <w:rsid w:val="00DB7848"/>
    <w:rsid w:val="00DC371D"/>
    <w:rsid w:val="00DD4E05"/>
    <w:rsid w:val="00DE21D4"/>
    <w:rsid w:val="00DE4214"/>
    <w:rsid w:val="00DE799C"/>
    <w:rsid w:val="00DF76B6"/>
    <w:rsid w:val="00E05E59"/>
    <w:rsid w:val="00E075C7"/>
    <w:rsid w:val="00E07914"/>
    <w:rsid w:val="00E07F7B"/>
    <w:rsid w:val="00E14266"/>
    <w:rsid w:val="00E226C5"/>
    <w:rsid w:val="00E34B88"/>
    <w:rsid w:val="00E5063A"/>
    <w:rsid w:val="00E57CA6"/>
    <w:rsid w:val="00E6386A"/>
    <w:rsid w:val="00E6765B"/>
    <w:rsid w:val="00E70752"/>
    <w:rsid w:val="00E83D2E"/>
    <w:rsid w:val="00E84C35"/>
    <w:rsid w:val="00E85C96"/>
    <w:rsid w:val="00E86EAE"/>
    <w:rsid w:val="00E8735C"/>
    <w:rsid w:val="00E921AA"/>
    <w:rsid w:val="00E92E0F"/>
    <w:rsid w:val="00EA3AA6"/>
    <w:rsid w:val="00EB6791"/>
    <w:rsid w:val="00EC5E80"/>
    <w:rsid w:val="00EC754E"/>
    <w:rsid w:val="00EC7874"/>
    <w:rsid w:val="00ED11A0"/>
    <w:rsid w:val="00ED2D94"/>
    <w:rsid w:val="00ED6FB2"/>
    <w:rsid w:val="00EE5285"/>
    <w:rsid w:val="00EF1ADB"/>
    <w:rsid w:val="00EF2F33"/>
    <w:rsid w:val="00F02A72"/>
    <w:rsid w:val="00F02DD9"/>
    <w:rsid w:val="00F037B7"/>
    <w:rsid w:val="00F108CF"/>
    <w:rsid w:val="00F20743"/>
    <w:rsid w:val="00F25D25"/>
    <w:rsid w:val="00F303BD"/>
    <w:rsid w:val="00F308AE"/>
    <w:rsid w:val="00F30FB3"/>
    <w:rsid w:val="00F3170E"/>
    <w:rsid w:val="00F34DCF"/>
    <w:rsid w:val="00F468D5"/>
    <w:rsid w:val="00F51992"/>
    <w:rsid w:val="00F523D0"/>
    <w:rsid w:val="00F53FC4"/>
    <w:rsid w:val="00F549BF"/>
    <w:rsid w:val="00F67518"/>
    <w:rsid w:val="00F7155F"/>
    <w:rsid w:val="00F81806"/>
    <w:rsid w:val="00F83CC5"/>
    <w:rsid w:val="00F9096D"/>
    <w:rsid w:val="00F929CA"/>
    <w:rsid w:val="00F9466E"/>
    <w:rsid w:val="00F94945"/>
    <w:rsid w:val="00F97C7D"/>
    <w:rsid w:val="00FA3DFB"/>
    <w:rsid w:val="00FB44E3"/>
    <w:rsid w:val="00FB510A"/>
    <w:rsid w:val="00FB7CB9"/>
    <w:rsid w:val="00FC2A52"/>
    <w:rsid w:val="00FC2D08"/>
    <w:rsid w:val="00FD20D4"/>
    <w:rsid w:val="00FD4102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32E3E-67BA-4866-BD93-BDDBC477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776A"/>
  </w:style>
  <w:style w:type="paragraph" w:styleId="1">
    <w:name w:val="heading 1"/>
    <w:basedOn w:val="a0"/>
    <w:next w:val="a0"/>
    <w:link w:val="10"/>
    <w:uiPriority w:val="9"/>
    <w:qFormat/>
    <w:rsid w:val="00C102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C61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41CFB"/>
    <w:pPr>
      <w:ind w:left="720"/>
      <w:contextualSpacing/>
    </w:pPr>
  </w:style>
  <w:style w:type="character" w:styleId="a5">
    <w:name w:val="Placeholder Text"/>
    <w:basedOn w:val="a1"/>
    <w:uiPriority w:val="99"/>
    <w:semiHidden/>
    <w:rsid w:val="00CD3E78"/>
    <w:rPr>
      <w:color w:val="808080"/>
    </w:rPr>
  </w:style>
  <w:style w:type="paragraph" w:styleId="a6">
    <w:name w:val="header"/>
    <w:basedOn w:val="a0"/>
    <w:link w:val="a7"/>
    <w:uiPriority w:val="99"/>
    <w:unhideWhenUsed/>
    <w:rsid w:val="00F0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02A72"/>
  </w:style>
  <w:style w:type="paragraph" w:styleId="a8">
    <w:name w:val="footer"/>
    <w:basedOn w:val="a0"/>
    <w:link w:val="a9"/>
    <w:uiPriority w:val="99"/>
    <w:unhideWhenUsed/>
    <w:rsid w:val="00F0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02A72"/>
  </w:style>
  <w:style w:type="character" w:customStyle="1" w:styleId="10">
    <w:name w:val="Заголовок 1 Знак"/>
    <w:basedOn w:val="a1"/>
    <w:link w:val="1"/>
    <w:uiPriority w:val="9"/>
    <w:rsid w:val="00C10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0"/>
    <w:uiPriority w:val="39"/>
    <w:unhideWhenUsed/>
    <w:qFormat/>
    <w:rsid w:val="00C1028F"/>
    <w:pPr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C1028F"/>
    <w:pPr>
      <w:spacing w:after="100"/>
    </w:pPr>
  </w:style>
  <w:style w:type="character" w:styleId="ab">
    <w:name w:val="Hyperlink"/>
    <w:basedOn w:val="a1"/>
    <w:uiPriority w:val="99"/>
    <w:unhideWhenUsed/>
    <w:rsid w:val="00C1028F"/>
    <w:rPr>
      <w:color w:val="0563C1" w:themeColor="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2C612F"/>
    <w:pPr>
      <w:spacing w:after="100"/>
      <w:ind w:left="220"/>
    </w:pPr>
  </w:style>
  <w:style w:type="paragraph" w:customStyle="1" w:styleId="a">
    <w:name w:val="Мой"/>
    <w:basedOn w:val="2"/>
    <w:link w:val="ac"/>
    <w:autoRedefine/>
    <w:qFormat/>
    <w:rsid w:val="002C612F"/>
    <w:pPr>
      <w:numPr>
        <w:numId w:val="6"/>
      </w:numPr>
      <w:spacing w:before="0" w:line="360" w:lineRule="auto"/>
      <w:ind w:hanging="3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character" w:customStyle="1" w:styleId="ac">
    <w:name w:val="Мой Знак"/>
    <w:basedOn w:val="20"/>
    <w:link w:val="a"/>
    <w:rsid w:val="002C612F"/>
    <w:rPr>
      <w:rFonts w:ascii="Times New Roman" w:eastAsia="Times New Roman" w:hAnsi="Times New Roman" w:cs="Times New Roman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2C61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d">
    <w:name w:val="Table Grid"/>
    <w:basedOn w:val="a2"/>
    <w:uiPriority w:val="39"/>
    <w:rsid w:val="00EC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ABF28DA27B435492D2C91CF64C08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FECEC-8B52-4E58-81EB-E37CFC0325EC}"/>
      </w:docPartPr>
      <w:docPartBody>
        <w:p w:rsidR="009C058D" w:rsidRDefault="00E13B2C" w:rsidP="00E13B2C">
          <w:pPr>
            <w:pStyle w:val="81ABF28DA27B435492D2C91CF64C0894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2C"/>
    <w:rsid w:val="00112750"/>
    <w:rsid w:val="004E74EE"/>
    <w:rsid w:val="00534E73"/>
    <w:rsid w:val="008202DB"/>
    <w:rsid w:val="009C058D"/>
    <w:rsid w:val="00DB5E84"/>
    <w:rsid w:val="00E1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ABF28DA27B435492D2C91CF64C0894">
    <w:name w:val="81ABF28DA27B435492D2C91CF64C0894"/>
    <w:rsid w:val="00E13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3977F-A22D-4B44-8DAB-0CB17FE4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cesi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 Газизуллин</dc:creator>
  <cp:keywords/>
  <dc:description/>
  <cp:lastModifiedBy>Булат Газизуллин</cp:lastModifiedBy>
  <cp:revision>4</cp:revision>
  <dcterms:created xsi:type="dcterms:W3CDTF">2022-08-05T13:42:00Z</dcterms:created>
  <dcterms:modified xsi:type="dcterms:W3CDTF">2022-08-08T13:29:00Z</dcterms:modified>
</cp:coreProperties>
</file>