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49" w:rsidRDefault="00C76F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6F49" w:rsidRDefault="00C76F49">
      <w:pPr>
        <w:pStyle w:val="ConsPlusNormal"/>
        <w:jc w:val="both"/>
        <w:outlineLvl w:val="0"/>
      </w:pPr>
    </w:p>
    <w:p w:rsidR="00C76F49" w:rsidRDefault="00C76F49">
      <w:pPr>
        <w:pStyle w:val="ConsPlusTitle"/>
        <w:jc w:val="center"/>
      </w:pPr>
      <w:r>
        <w:t>КАБИНЕТ МИНИСТРОВ РЕСПУБЛИКИ ТАТАРСТАН</w:t>
      </w:r>
    </w:p>
    <w:p w:rsidR="00C76F49" w:rsidRDefault="00C76F49">
      <w:pPr>
        <w:pStyle w:val="ConsPlusTitle"/>
        <w:jc w:val="both"/>
      </w:pPr>
    </w:p>
    <w:p w:rsidR="00C76F49" w:rsidRDefault="00C76F49">
      <w:pPr>
        <w:pStyle w:val="ConsPlusTitle"/>
        <w:jc w:val="center"/>
      </w:pPr>
      <w:r>
        <w:t>ПОСТАНОВЛЕНИЕ</w:t>
      </w:r>
    </w:p>
    <w:p w:rsidR="00C76F49" w:rsidRDefault="00C76F49">
      <w:pPr>
        <w:pStyle w:val="ConsPlusTitle"/>
        <w:jc w:val="center"/>
      </w:pPr>
      <w:r>
        <w:t>от 11 мая 2024 г. N 318</w:t>
      </w:r>
    </w:p>
    <w:p w:rsidR="00C76F49" w:rsidRDefault="00C76F49">
      <w:pPr>
        <w:pStyle w:val="ConsPlusTitle"/>
        <w:jc w:val="both"/>
      </w:pPr>
    </w:p>
    <w:p w:rsidR="00C76F49" w:rsidRDefault="00C76F49">
      <w:pPr>
        <w:pStyle w:val="ConsPlusTitle"/>
        <w:jc w:val="center"/>
      </w:pPr>
      <w:r>
        <w:t>О ВНЕСЕНИИ ИЗМЕНЕНИЙ В ПОЛОЖЕНИЕ ОБ УСЛОВИЯХ ОПЛАТЫ ТРУДА</w:t>
      </w:r>
    </w:p>
    <w:p w:rsidR="00C76F49" w:rsidRDefault="00C76F49">
      <w:pPr>
        <w:pStyle w:val="ConsPlusTitle"/>
        <w:jc w:val="center"/>
      </w:pPr>
      <w:r>
        <w:t>РАБОТНИКОВ ГОСУДАРСТВЕННЫХ ПРОФЕССИОНАЛЬНЫХ ОБРАЗОВАТЕЛЬНЫХ</w:t>
      </w:r>
    </w:p>
    <w:p w:rsidR="00C76F49" w:rsidRDefault="00C76F49">
      <w:pPr>
        <w:pStyle w:val="ConsPlusTitle"/>
        <w:jc w:val="center"/>
      </w:pPr>
      <w:r>
        <w:t>ОРГАНИЗАЦИЙ РЕСПУБЛИКИ ТАТАРСТАН, УТВЕРЖДЕННОЕ</w:t>
      </w:r>
    </w:p>
    <w:p w:rsidR="00C76F49" w:rsidRDefault="00C76F49">
      <w:pPr>
        <w:pStyle w:val="ConsPlusTitle"/>
        <w:jc w:val="center"/>
      </w:pPr>
      <w:r>
        <w:t>ПОСТАНОВЛЕНИЕМ КАБИНЕТА МИНИСТРОВ РЕСПУБЛИКИ ТАТАРСТАН</w:t>
      </w:r>
    </w:p>
    <w:p w:rsidR="00C76F49" w:rsidRDefault="00C76F49">
      <w:pPr>
        <w:pStyle w:val="ConsPlusTitle"/>
        <w:jc w:val="center"/>
      </w:pPr>
      <w:r>
        <w:t>ОТ 31.05.2018 N 412 "ОБ УСЛОВИЯХ ОПЛАТЫ ТРУДА РАБОТНИКОВ</w:t>
      </w:r>
    </w:p>
    <w:p w:rsidR="00C76F49" w:rsidRDefault="00C76F49">
      <w:pPr>
        <w:pStyle w:val="ConsPlusTitle"/>
        <w:jc w:val="center"/>
      </w:pPr>
      <w:r>
        <w:t>ГОСУДАРСТВЕННЫХ ОБРАЗОВАТЕЛЬНЫХ ОРГАНИЗАЦИЙ РЕСПУБЛИКИ</w:t>
      </w:r>
    </w:p>
    <w:p w:rsidR="00C76F49" w:rsidRDefault="00C76F49">
      <w:pPr>
        <w:pStyle w:val="ConsPlusTitle"/>
        <w:jc w:val="center"/>
      </w:pPr>
      <w:r>
        <w:t>ТАТАРСТАН"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государственных профессиональных образовательных организаций Республики Татарстан, утвержденное постановлением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821, от 29.10.2021 N 1021, от 30.10.2021 N 1030, от 15.06.2022 N 566, от 22.09.2022 N 1027, от 11.03.2023 N 232, от 19.08.2023 N 989, от 16.10.2023 N 1312, от 31.10.2023 N 1377, от 07.11.2023 N 1431), следующие изменения: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разделе VI</w:t>
        </w:r>
      </w:hyperlink>
      <w:r>
        <w:t>: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пункте 2</w:t>
        </w:r>
      </w:hyperlink>
      <w:r>
        <w:t>: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таблицу 3</w:t>
        </w:r>
      </w:hyperlink>
      <w:r>
        <w:t xml:space="preserve"> дополнить пунктом 3 следующего содержания:</w:t>
      </w:r>
    </w:p>
    <w:p w:rsidR="00C76F49" w:rsidRDefault="00C76F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49"/>
        <w:gridCol w:w="2041"/>
        <w:gridCol w:w="794"/>
        <w:gridCol w:w="1020"/>
      </w:tblGrid>
      <w:tr w:rsidR="00C76F4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76F49" w:rsidRDefault="00C76F49">
            <w:pPr>
              <w:pStyle w:val="ConsPlusNormal"/>
              <w:jc w:val="center"/>
            </w:pPr>
            <w:r>
              <w:t>"3.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76F49" w:rsidRDefault="00C76F49">
            <w:pPr>
              <w:pStyle w:val="ConsPlusNormal"/>
              <w:jc w:val="both"/>
            </w:pPr>
            <w:r>
              <w:t>Работа в профессиональных образовательных организациях по программам подготовки специалистов среднего звена спортивной направленности (группах, отделениях) олимпийского резерва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F49" w:rsidRDefault="00C76F49">
            <w:pPr>
              <w:pStyle w:val="ConsPlusNormal"/>
              <w:jc w:val="both"/>
            </w:pPr>
            <w:r>
              <w:t>тренер-преподаватель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76F49" w:rsidRDefault="00C76F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76F49" w:rsidRDefault="00C76F49">
            <w:pPr>
              <w:pStyle w:val="ConsPlusNormal"/>
              <w:jc w:val="center"/>
            </w:pPr>
            <w:r>
              <w:t>7,0";</w:t>
            </w:r>
          </w:p>
        </w:tc>
      </w:tr>
    </w:tbl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подпункте 2.3</w:t>
        </w:r>
      </w:hyperlink>
      <w:r>
        <w:t>: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 первый</w:t>
        </w:r>
      </w:hyperlink>
      <w:r>
        <w:t xml:space="preserve"> после слов "государственных наград" дополнить словами "(спортивных званий)";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абзац шестой</w:t>
        </w:r>
      </w:hyperlink>
      <w:r>
        <w:t xml:space="preserve"> дополнить словами "(спортивных званий)";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 xml:space="preserve">"Перечень государственных наград (спортивных званий), за наличие которых работникам физической культуры и тренерам-преподавателям предоставляются выплаты в профессиональных образовательных организациях по программам подготовки специалистов среднего звена спортивной направленности (группах, отделениях) олимпийского резерва, приведен в таблице 4 </w:t>
      </w:r>
      <w:r>
        <w:lastRenderedPageBreak/>
        <w:t>приложения N 2 к настоящему Положению.";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 2.3.1</w:t>
        </w:r>
      </w:hyperlink>
      <w:r>
        <w:t xml:space="preserve"> изложить в следующей редакции: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"2.3.1. Установление размеров выплат за наличие государственных наград (спортивных званий) производится со дня присвоения государственной награды (спортивного звания). Работникам образования, имеющим две и более государственные награды (два и более спортивных звания), выплата за их наличие устанавливается по одному из оснований по выбору работника образования.";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подпунктом 2.5 следующего содержания: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"2.5. Выплаты за обеспечение высококачественного учебно-тренировочного процесса предоставляются инструкторам-методистам (включая старших) за успешные выступления и достигнутые спортсменами результаты в официальных международных, всероссийских, окружных и республиканских соревнованиях с учетом выполнения индикаторов оценки эффективности деятельности работника и рассчитываются по формуле: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41478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ind w:firstLine="540"/>
        <w:jc w:val="both"/>
      </w:pPr>
      <w:r>
        <w:t>где: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O</w:t>
      </w:r>
      <w:r>
        <w:rPr>
          <w:vertAlign w:val="subscript"/>
        </w:rPr>
        <w:t>d</w:t>
      </w:r>
      <w:r>
        <w:t xml:space="preserve"> - должностной оклад работников физической культуры и спорта профессиональных образовательных организаций;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vytp</w:t>
      </w:r>
      <w:r>
        <w:t xml:space="preserve"> - </w:t>
      </w:r>
      <w:hyperlink w:anchor="P48">
        <w:r>
          <w:rPr>
            <w:color w:val="0000FF"/>
          </w:rPr>
          <w:t>размер</w:t>
        </w:r>
      </w:hyperlink>
      <w:r>
        <w:t xml:space="preserve"> надбавки за обеспечение высококачественного учебно-тренировочного процесса, который приведен в таблице 5.1.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2.5.1. Выплаты за обеспечение высококачественного учебно-тренировочного процесса устанавливаются на основании выписки из протокола соревнований с момента результата, показанного спортсменом, в течение одного календарного года.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2.5.2. Срок действия выплаты за обеспечение высококачественного учебно-тренировочного процесса устанавливается на один календарный год.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2.5.3. Размер надбавки за обеспечение высококачественного учебно-тренировочного процесса формируется из суммы процентов за один лучший результат в соревнованиях каждого уровня (не более восьми соревнований спортсмена), показанный спортсменом, спортсменом-инструктором в индивидуальном зачете в виде программы, в многоборье, или за результат в командных соревнованиях, если в таковых разыгрываются комплекты медалей.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jc w:val="right"/>
      </w:pPr>
      <w:r>
        <w:t>Таблица 5.1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jc w:val="center"/>
      </w:pPr>
      <w:bookmarkStart w:id="0" w:name="P48"/>
      <w:bookmarkEnd w:id="0"/>
      <w:r>
        <w:t>Размер надбавки за обеспечение высококачественного</w:t>
      </w:r>
    </w:p>
    <w:p w:rsidR="00C76F49" w:rsidRDefault="00C76F49">
      <w:pPr>
        <w:pStyle w:val="ConsPlusNormal"/>
        <w:jc w:val="center"/>
      </w:pPr>
      <w:r>
        <w:t>учебно-тренировочного процесса</w:t>
      </w:r>
    </w:p>
    <w:p w:rsidR="00C76F49" w:rsidRDefault="00C76F49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778"/>
        <w:gridCol w:w="1160"/>
        <w:gridCol w:w="1757"/>
        <w:gridCol w:w="1984"/>
      </w:tblGrid>
      <w:tr w:rsidR="00C76F49">
        <w:tc>
          <w:tcPr>
            <w:tcW w:w="9040" w:type="dxa"/>
            <w:gridSpan w:val="5"/>
            <w:tcBorders>
              <w:top w:val="nil"/>
              <w:left w:val="nil"/>
              <w:right w:val="nil"/>
            </w:tcBorders>
          </w:tcPr>
          <w:p w:rsidR="00C76F49" w:rsidRDefault="00C76F49">
            <w:pPr>
              <w:pStyle w:val="ConsPlusNormal"/>
              <w:jc w:val="right"/>
            </w:pPr>
            <w:r>
              <w:t>(процентов)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 w:val="restart"/>
          </w:tcPr>
          <w:p w:rsidR="00C76F49" w:rsidRDefault="00C76F49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2778" w:type="dxa"/>
            <w:vMerge w:val="restart"/>
          </w:tcPr>
          <w:p w:rsidR="00C76F49" w:rsidRDefault="00C76F49">
            <w:pPr>
              <w:pStyle w:val="ConsPlusNormal"/>
              <w:jc w:val="center"/>
            </w:pPr>
            <w:r>
              <w:t>Уровень соревнований</w:t>
            </w:r>
          </w:p>
        </w:tc>
        <w:tc>
          <w:tcPr>
            <w:tcW w:w="1160" w:type="dxa"/>
            <w:vMerge w:val="restart"/>
          </w:tcPr>
          <w:p w:rsidR="00C76F49" w:rsidRDefault="00C76F49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3741" w:type="dxa"/>
            <w:gridSpan w:val="2"/>
          </w:tcPr>
          <w:p w:rsidR="00C76F49" w:rsidRDefault="00C76F49">
            <w:pPr>
              <w:pStyle w:val="ConsPlusNormal"/>
              <w:jc w:val="center"/>
            </w:pPr>
            <w:r>
              <w:t>Размер надбавки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1160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 xml:space="preserve">олимпийские виды спорта, олимпийские </w:t>
            </w:r>
            <w:r>
              <w:lastRenderedPageBreak/>
              <w:t>дисциплины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lastRenderedPageBreak/>
              <w:t xml:space="preserve">неолимпийские виды спорта, неолимпийские </w:t>
            </w:r>
            <w:r>
              <w:lastRenderedPageBreak/>
              <w:t>дисциплины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</w:tcPr>
          <w:p w:rsidR="00C76F49" w:rsidRDefault="00C76F4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C76F49" w:rsidRDefault="00C76F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0" w:type="dxa"/>
            <w:gridSpan w:val="5"/>
          </w:tcPr>
          <w:p w:rsidR="00C76F49" w:rsidRDefault="00C76F49">
            <w:pPr>
              <w:pStyle w:val="ConsPlusNormal"/>
              <w:jc w:val="center"/>
            </w:pPr>
            <w:r>
              <w:t>Профессиональная квалификационная группа должностей педагогических работников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 w:val="restart"/>
          </w:tcPr>
          <w:p w:rsidR="00C76F49" w:rsidRDefault="00C76F49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Олимпийские игры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-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чемпионат мира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Кубок мира, чемпионат Европы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Кубок Европы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чемпионат России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2,5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Кубок России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2,5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  <w:jc w:val="both"/>
            </w:pPr>
            <w:r>
              <w:t>первенство мира, Европы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первенство России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2,5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  <w:jc w:val="both"/>
            </w:pPr>
            <w:r>
              <w:t>финал Спартакиады молодежи, учащихся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2,0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 w:val="restart"/>
          </w:tcPr>
          <w:p w:rsidR="00C76F49" w:rsidRDefault="00C76F49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Олимпийские игры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-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чемпионат мира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4,0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Кубок мира, чемпионат Европы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Кубок Европы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чемпионат России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Кубок России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  <w:jc w:val="both"/>
            </w:pPr>
            <w:r>
              <w:t>первенство мира, Европы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1 - 6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3,5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</w:pPr>
            <w:r>
              <w:t>первенство России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3,0</w:t>
            </w:r>
          </w:p>
        </w:tc>
      </w:tr>
      <w:tr w:rsidR="00C76F4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61" w:type="dxa"/>
            <w:vMerge/>
          </w:tcPr>
          <w:p w:rsidR="00C76F49" w:rsidRDefault="00C76F49">
            <w:pPr>
              <w:pStyle w:val="ConsPlusNormal"/>
            </w:pPr>
          </w:p>
        </w:tc>
        <w:tc>
          <w:tcPr>
            <w:tcW w:w="2778" w:type="dxa"/>
          </w:tcPr>
          <w:p w:rsidR="00C76F49" w:rsidRDefault="00C76F49">
            <w:pPr>
              <w:pStyle w:val="ConsPlusNormal"/>
              <w:jc w:val="both"/>
            </w:pPr>
            <w:r>
              <w:t>финал Спартакиады молодежи, учащихся</w:t>
            </w:r>
          </w:p>
        </w:tc>
        <w:tc>
          <w:tcPr>
            <w:tcW w:w="1160" w:type="dxa"/>
          </w:tcPr>
          <w:p w:rsidR="00C76F49" w:rsidRDefault="00C76F4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757" w:type="dxa"/>
          </w:tcPr>
          <w:p w:rsidR="00C76F49" w:rsidRDefault="00C76F4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84" w:type="dxa"/>
          </w:tcPr>
          <w:p w:rsidR="00C76F49" w:rsidRDefault="00C76F49">
            <w:pPr>
              <w:pStyle w:val="ConsPlusNormal"/>
              <w:jc w:val="center"/>
            </w:pPr>
            <w:r>
              <w:t>2,5";</w:t>
            </w:r>
          </w:p>
        </w:tc>
      </w:tr>
    </w:tbl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ind w:firstLine="540"/>
        <w:jc w:val="both"/>
      </w:pPr>
      <w:hyperlink r:id="rId16">
        <w:r>
          <w:rPr>
            <w:color w:val="0000FF"/>
          </w:rPr>
          <w:t>подпункт 5.4 пункта 5</w:t>
        </w:r>
      </w:hyperlink>
      <w:r>
        <w:t xml:space="preserve"> признать утратившим силу;</w:t>
      </w:r>
    </w:p>
    <w:p w:rsidR="00C76F49" w:rsidRDefault="00C76F49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наименование таблицы 4 приложения N 2</w:t>
        </w:r>
      </w:hyperlink>
      <w:r>
        <w:t xml:space="preserve"> к указанному Положению после слов "физической культуры" дополнить словами "и тренерам-преподавателям".</w:t>
      </w:r>
    </w:p>
    <w:p w:rsidR="00C76F49" w:rsidRDefault="00C76F49">
      <w:pPr>
        <w:pStyle w:val="ConsPlusNormal"/>
        <w:spacing w:before="220"/>
        <w:ind w:firstLine="540"/>
        <w:jc w:val="both"/>
      </w:pPr>
      <w:r>
        <w:t>2. Установить, что действие настоящего постановления распространяется на правоотношения, возникшие с 1 января 2024 года.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jc w:val="right"/>
      </w:pPr>
      <w:r>
        <w:t>Премьер-министр</w:t>
      </w:r>
    </w:p>
    <w:p w:rsidR="00C76F49" w:rsidRDefault="00C76F49">
      <w:pPr>
        <w:pStyle w:val="ConsPlusNormal"/>
        <w:jc w:val="right"/>
      </w:pPr>
      <w:r>
        <w:t>Республики Татарстан</w:t>
      </w:r>
    </w:p>
    <w:p w:rsidR="00C76F49" w:rsidRDefault="00C76F49">
      <w:pPr>
        <w:pStyle w:val="ConsPlusNormal"/>
        <w:jc w:val="right"/>
      </w:pPr>
      <w:r>
        <w:t>А.В.ПЕСОШИН</w:t>
      </w: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jc w:val="both"/>
      </w:pPr>
    </w:p>
    <w:p w:rsidR="00C76F49" w:rsidRDefault="00C76F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944" w:rsidRDefault="00DF7944">
      <w:bookmarkStart w:id="1" w:name="_GoBack"/>
      <w:bookmarkEnd w:id="1"/>
    </w:p>
    <w:sectPr w:rsidR="00DF7944" w:rsidSect="00EE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49"/>
    <w:rsid w:val="0024018B"/>
    <w:rsid w:val="00C76F49"/>
    <w:rsid w:val="00DF7944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4832B-53E0-4437-B7CB-D86B079A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6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8866&amp;dst=114243" TargetMode="External"/><Relationship Id="rId13" Type="http://schemas.openxmlformats.org/officeDocument/2006/relationships/hyperlink" Target="https://login.consultant.ru/link/?req=doc&amp;base=RLAW363&amp;n=178866&amp;dst=1142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78866&amp;dst=114152" TargetMode="External"/><Relationship Id="rId12" Type="http://schemas.openxmlformats.org/officeDocument/2006/relationships/hyperlink" Target="https://login.consultant.ru/link/?req=doc&amp;base=RLAW363&amp;n=178866&amp;dst=114262" TargetMode="External"/><Relationship Id="rId17" Type="http://schemas.openxmlformats.org/officeDocument/2006/relationships/hyperlink" Target="https://login.consultant.ru/link/?req=doc&amp;base=RLAW363&amp;n=178866&amp;dst=1192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78866&amp;dst=1147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8866&amp;dst=114140" TargetMode="External"/><Relationship Id="rId11" Type="http://schemas.openxmlformats.org/officeDocument/2006/relationships/hyperlink" Target="https://login.consultant.ru/link/?req=doc&amp;base=RLAW363&amp;n=178866&amp;dst=114256" TargetMode="External"/><Relationship Id="rId5" Type="http://schemas.openxmlformats.org/officeDocument/2006/relationships/hyperlink" Target="https://login.consultant.ru/link/?req=doc&amp;base=RLAW363&amp;n=178866&amp;dst=113739" TargetMode="External"/><Relationship Id="rId1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363&amp;n=178866&amp;dst=11425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8866&amp;dst=114251" TargetMode="External"/><Relationship Id="rId14" Type="http://schemas.openxmlformats.org/officeDocument/2006/relationships/hyperlink" Target="https://login.consultant.ru/link/?req=doc&amp;base=RLAW363&amp;n=178866&amp;dst=114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2024-06-06T14:10:00Z</dcterms:created>
  <dcterms:modified xsi:type="dcterms:W3CDTF">2024-06-06T14:10:00Z</dcterms:modified>
</cp:coreProperties>
</file>