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7"/>
        <w:pBdr/>
        <w:spacing w:line="360" w:lineRule="auto"/>
        <w:ind w:right="-236" w:firstLine="283" w:left="-85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7936" behindDoc="0" locked="0" layoutInCell="1" allowOverlap="1">
                <wp:simplePos x="0" y="0"/>
                <wp:positionH relativeFrom="column">
                  <wp:posOffset>2962615</wp:posOffset>
                </wp:positionH>
                <wp:positionV relativeFrom="paragraph">
                  <wp:posOffset>-410115</wp:posOffset>
                </wp:positionV>
                <wp:extent cx="295275" cy="228600"/>
                <wp:effectExtent l="12700" t="12700" r="12700" b="127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95274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87936;o:allowoverlap:true;o:allowincell:true;mso-position-horizontal-relative:text;margin-left:233.28pt;mso-position-horizontal:absolute;mso-position-vertical-relative:text;margin-top:-32.29pt;mso-position-vertical:absolute;width:23.25pt;height:18.00pt;mso-wrap-distance-left:9.07pt;mso-wrap-distance-top:0.00pt;mso-wrap-distance-right:9.07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735490" cy="917303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5220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735489" cy="9173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30.35pt;height:722.2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27"/>
        <w:pBdr/>
        <w:spacing w:before="0"/>
        <w:ind/>
        <w:jc w:val="center"/>
        <w:rPr>
          <w:rFonts w:ascii="Times New Roman" w:hAnsi="Times New Roman" w:cs="Times New Roman"/>
          <w:b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</w:rPr>
        <w:t xml:space="preserve">Содержание</w:t>
      </w: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bCs/>
          <w:color w:val="auto"/>
          <w:highlight w:val="none"/>
        </w:rPr>
      </w:r>
    </w:p>
    <w:p>
      <w:pPr>
        <w:pBdr/>
        <w:spacing/>
        <w:ind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29"/>
        <w:pBdr/>
        <w:tabs>
          <w:tab w:val="right" w:leader="dot" w:pos="9770"/>
        </w:tabs>
        <w:spacing/>
        <w:ind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fldChar w:fldCharType="begin"/>
      </w:r>
      <w:r>
        <w:rPr>
          <w:b w:val="0"/>
          <w:bCs w:val="0"/>
          <w:sz w:val="28"/>
          <w:szCs w:val="28"/>
        </w:rPr>
        <w:instrText xml:space="preserve"> TOC \o "1-3" \h \z \u </w:instrText>
      </w:r>
      <w:r>
        <w:rPr>
          <w:b w:val="0"/>
          <w:bCs w:val="0"/>
          <w:sz w:val="28"/>
          <w:szCs w:val="28"/>
        </w:rPr>
        <w:fldChar w:fldCharType="separate"/>
      </w:r>
      <w:r>
        <w:rPr>
          <w:b w:val="0"/>
          <w:bCs w:val="0"/>
          <w:sz w:val="28"/>
          <w:szCs w:val="28"/>
          <w:highlight w:val="none"/>
        </w:rPr>
      </w:r>
      <w:hyperlink w:tooltip="#_Toc1" w:anchor="_Toc1" w:history="1">
        <w:r>
          <w:rPr>
            <w:rStyle w:val="781"/>
            <w:b w:val="0"/>
            <w:bCs w:val="0"/>
            <w:sz w:val="28"/>
            <w:szCs w:val="28"/>
          </w:rPr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Назначение</w:t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модели</w:t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  <w:highlight w:val="none"/>
          </w:rPr>
        </w:r>
        <w:r>
          <w:rPr>
            <w:b w:val="0"/>
            <w:bCs w:val="0"/>
            <w:sz w:val="28"/>
            <w:szCs w:val="28"/>
          </w:rPr>
          <w:tab/>
        </w:r>
        <w:r>
          <w:rPr>
            <w:b w:val="0"/>
            <w:bCs w:val="0"/>
            <w:sz w:val="28"/>
            <w:szCs w:val="28"/>
          </w:rP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29"/>
        <w:pBdr/>
        <w:tabs>
          <w:tab w:val="right" w:leader="dot" w:pos="9770"/>
        </w:tabs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hyperlink w:tooltip="#_Toc2" w:anchor="_Toc2" w:history="1">
        <w:r>
          <w:rPr>
            <w:rStyle w:val="781"/>
            <w:b w:val="0"/>
            <w:bCs w:val="0"/>
            <w:sz w:val="28"/>
            <w:szCs w:val="28"/>
          </w:rPr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Объект моделирования</w:t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</w:r>
        <w:r>
          <w:rPr>
            <w:b w:val="0"/>
            <w:bCs w:val="0"/>
            <w:sz w:val="28"/>
            <w:szCs w:val="28"/>
          </w:rPr>
          <w:tab/>
        </w:r>
        <w:r>
          <w:rPr>
            <w:b w:val="0"/>
            <w:bCs w:val="0"/>
            <w:sz w:val="28"/>
            <w:szCs w:val="28"/>
          </w:rPr>
          <w:fldChar w:fldCharType="begin"/>
          <w:instrText xml:space="preserve">PAGEREF _Toc2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9"/>
        <w:pBdr/>
        <w:tabs>
          <w:tab w:val="right" w:leader="dot" w:pos="9770"/>
        </w:tabs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hyperlink w:tooltip="#_Toc3" w:anchor="_Toc3" w:history="1">
        <w:r>
          <w:rPr>
            <w:rStyle w:val="781"/>
            <w:b w:val="0"/>
            <w:bCs w:val="0"/>
            <w:sz w:val="28"/>
            <w:szCs w:val="28"/>
          </w:rPr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Методология моделирования</w:t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</w:r>
        <w:r>
          <w:rPr>
            <w:b w:val="0"/>
            <w:bCs w:val="0"/>
            <w:sz w:val="28"/>
            <w:szCs w:val="28"/>
          </w:rPr>
          <w:tab/>
        </w:r>
        <w:r>
          <w:rPr>
            <w:b w:val="0"/>
            <w:bCs w:val="0"/>
            <w:sz w:val="28"/>
            <w:szCs w:val="28"/>
          </w:rPr>
          <w:fldChar w:fldCharType="begin"/>
          <w:instrText xml:space="preserve">PAGEREF _Toc3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9"/>
        <w:pBdr/>
        <w:tabs>
          <w:tab w:val="right" w:leader="dot" w:pos="9770"/>
        </w:tabs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hyperlink w:tooltip="#_Toc4" w:anchor="_Toc4" w:history="1">
        <w:r>
          <w:rPr>
            <w:rStyle w:val="781"/>
            <w:b w:val="0"/>
            <w:bCs w:val="0"/>
            <w:sz w:val="28"/>
            <w:szCs w:val="28"/>
          </w:rPr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Исходные данные модели</w:t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</w:r>
        <w:r>
          <w:rPr>
            <w:b w:val="0"/>
            <w:bCs w:val="0"/>
            <w:sz w:val="28"/>
            <w:szCs w:val="28"/>
          </w:rPr>
          <w:tab/>
        </w:r>
        <w:r>
          <w:rPr>
            <w:b w:val="0"/>
            <w:bCs w:val="0"/>
            <w:sz w:val="28"/>
            <w:szCs w:val="28"/>
          </w:rPr>
          <w:fldChar w:fldCharType="begin"/>
          <w:instrText xml:space="preserve">PAGEREF _Toc4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9"/>
        <w:pBdr/>
        <w:tabs>
          <w:tab w:val="right" w:leader="dot" w:pos="9770"/>
        </w:tabs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hyperlink w:tooltip="#_Toc5" w:anchor="_Toc5" w:history="1">
        <w:r>
          <w:rPr>
            <w:rStyle w:val="781"/>
            <w:b w:val="0"/>
            <w:bCs w:val="0"/>
            <w:sz w:val="28"/>
            <w:szCs w:val="28"/>
          </w:rPr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Краткое описание алгоритма моделирования</w:t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</w:r>
        <w:r>
          <w:rPr>
            <w:b w:val="0"/>
            <w:bCs w:val="0"/>
            <w:sz w:val="28"/>
            <w:szCs w:val="28"/>
          </w:rPr>
          <w:tab/>
        </w:r>
        <w:r>
          <w:rPr>
            <w:b w:val="0"/>
            <w:bCs w:val="0"/>
            <w:sz w:val="28"/>
            <w:szCs w:val="28"/>
          </w:rPr>
          <w:fldChar w:fldCharType="begin"/>
          <w:instrText xml:space="preserve">PAGEREF _Toc5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9"/>
        <w:pBdr/>
        <w:tabs>
          <w:tab w:val="right" w:leader="dot" w:pos="9770"/>
        </w:tabs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hyperlink w:tooltip="#_Toc6" w:anchor="_Toc6" w:history="1">
        <w:r>
          <w:rPr>
            <w:rStyle w:val="781"/>
            <w:b w:val="0"/>
            <w:bCs w:val="0"/>
            <w:sz w:val="28"/>
            <w:szCs w:val="28"/>
          </w:rPr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Результат моделирования</w:t>
        </w:r>
        <w:r>
          <w:rPr>
            <w:rStyle w:val="781"/>
            <w:rFonts w:ascii="Times New Roman" w:hAnsi="Times New Roman" w:cs="Times New Roman"/>
            <w:b w:val="0"/>
            <w:bCs w:val="0"/>
            <w:sz w:val="28"/>
            <w:szCs w:val="28"/>
          </w:rPr>
        </w:r>
        <w:r>
          <w:rPr>
            <w:b w:val="0"/>
            <w:bCs w:val="0"/>
            <w:sz w:val="28"/>
            <w:szCs w:val="28"/>
          </w:rPr>
          <w:tab/>
        </w:r>
        <w:r>
          <w:rPr>
            <w:b w:val="0"/>
            <w:bCs w:val="0"/>
            <w:sz w:val="28"/>
            <w:szCs w:val="28"/>
          </w:rPr>
          <w:fldChar w:fldCharType="begin"/>
          <w:instrText xml:space="preserve">PAGEREF _Toc6 \h</w:instrText>
          <w:fldChar w:fldCharType="separate"/>
          <w:t xml:space="preserve">5</w:t>
          <w:fldChar w:fldCharType="end"/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fldChar w:fldCharType="end"/>
      </w:r>
      <w:r>
        <w:rPr>
          <w:sz w:val="28"/>
          <w:szCs w:val="28"/>
          <w:highlight w:val="none"/>
        </w:rPr>
      </w:r>
      <w:r/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05"/>
          <w:tab w:val="center" w:leader="none" w:pos="489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pBdr/>
        <w:spacing w:after="240" w:before="40"/>
        <w:ind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8"/>
        <w:pBdr/>
        <w:spacing w:after="240" w:before="40"/>
        <w:ind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8"/>
        <w:pBdr/>
        <w:spacing w:after="240" w:before="40"/>
        <w:ind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8"/>
        <w:pBdr/>
        <w:spacing w:after="240"/>
        <w:ind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738"/>
        <w:pBdr/>
        <w:spacing w:after="240"/>
        <w:ind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8"/>
        <w:pageBreakBefore w:val="true"/>
        <w:pBdr/>
        <w:spacing w:after="240"/>
        <w:ind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/>
      <w:bookmarkStart w:id="8" w:name="_Toc1"/>
      <w:r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Назначение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bookmarkEnd w:id="8"/>
      <w:r/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финансовой устойчивости хозяйствующих субъектов Республики Татарстан с целью определения их способности выполнять свои финансовые обязательства в краткосрочной и долгосрочной перспективе.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pBdr/>
        <w:spacing w:after="240" w:before="40"/>
        <w:ind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9" w:name="_Toc2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Объект моделирования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9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736"/>
        <w:pBdr/>
        <w:spacing w:line="240" w:lineRule="atLeast"/>
        <w:ind w:right="0" w:firstLine="709" w:left="0"/>
        <w:jc w:val="both"/>
        <w:rPr/>
      </w:pPr>
      <w:r>
        <w:rPr>
          <w:rFonts w:eastAsia="Times New Roman" w:cs="Times New Roman"/>
          <w:color w:val="000000"/>
          <w:sz w:val="28"/>
        </w:rPr>
        <w:t xml:space="preserve">Финансовое состояние хозяйствующего субъекта Республики Татарстан.</w:t>
      </w:r>
      <w:r/>
    </w:p>
    <w:p>
      <w:pPr>
        <w:pStyle w:val="736"/>
        <w:pBdr/>
        <w: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8"/>
        <w:pBdr/>
        <w:spacing w:after="240" w:before="40"/>
        <w:ind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10" w:name="_Toc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Методология моделирования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10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Структуризация данных осуществляется в LibreOffice и сводится к созданию шаблона автоматического расчета финансовых коэффициентов и коэффициента прогнозирования вероятности банкротства.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pBdr/>
        <w:spacing w:after="240" w:before="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11" w:name="_Toc4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Исходные данные модели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11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получения исходных данных</w:t>
      </w:r>
      <w:r>
        <w:rPr>
          <w:sz w:val="28"/>
          <w:szCs w:val="28"/>
        </w:rPr>
        <w:t xml:space="preserve"> для данной модели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бухгалтерская и налоговая отчетность;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финансовых результат</w:t>
      </w:r>
      <w:r>
        <w:rPr>
          <w:sz w:val="28"/>
          <w:szCs w:val="28"/>
          <w:shd w:val="clear" w:color="auto" w:fill="ffffff"/>
        </w:rPr>
        <w:t xml:space="preserve">ах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Государственный информационный ресурс бухгалтерской (финансовой) отчетности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 из открытых источников сети Интернет.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8"/>
        <w:pBdr/>
        <w:spacing w:after="240" w:before="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12" w:name="_Toc5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алгоритма моделирования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12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Для оценки финансовой устойчивости хозяйствующих субъектов Республики Татарстан производится расчет следующих коэффициентов: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- Коэффициент финансовой устойчивости (Кфу) показывает, какая доля активов организации покрывается стабильными и долгосрочными источниками финансирования;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736"/>
        <w:pBdr/>
        <w:spacing w:after="0" w:before="0" w:line="360" w:lineRule="auto"/>
        <w:ind w:right="0" w:firstLine="72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- Коэффициент финансовой независимости (Кфн)</w:t>
      </w:r>
      <w:r>
        <w:rPr>
          <w:b w:val="0"/>
          <w:bCs w:val="0"/>
          <w:sz w:val="28"/>
          <w:szCs w:val="28"/>
        </w:rPr>
        <w:t xml:space="preserve"> показывает </w:t>
      </w:r>
      <w:r>
        <w:rPr>
          <w:rFonts w:eastAsia="Times New Roman" w:cs="Times New Roman"/>
          <w:color w:val="000000"/>
          <w:sz w:val="28"/>
        </w:rPr>
        <w:t xml:space="preserve">долю активов организации, которые обеспечиваются собственными средствами, и определяется как отношение собственных средств к совокупным активам;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6"/>
        <w:pBdr/>
        <w:spacing w:after="0" w:before="0" w:line="360" w:lineRule="auto"/>
        <w:ind w:right="0" w:firstLine="72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Коэффициент прогноза банкротства (Кпб) оценивает платежеспособность организации в краткосрочной перспективе, при условии благоприятной реализации запасов.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(Кфу) производится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rFonts w:ascii="Cambria Math" w:hAnsi="Cambria Math" w:eastAsia="Cambria Math" w:cs="Cambria Math"/>
          <w:sz w:val="24"/>
          <w:szCs w:val="24"/>
        </w:rPr>
      </w:pPr>
      <w:r>
        <w:rPr>
          <w:rFonts w:ascii="Cambria Math" w:hAnsi="Cambria Math" w:eastAsia="Cambria Math" w:cs="Cambria Math"/>
          <w:sz w:val="24"/>
          <w:szCs w:val="24"/>
        </w:rPr>
      </w:r>
      <w:r>
        <w:rPr>
          <w:rFonts w:ascii="Cambria Math" w:hAnsi="Cambria Math" w:eastAsia="Cambria Math" w:cs="Cambria Math"/>
          <w:sz w:val="24"/>
          <w:szCs w:val="24"/>
        </w:rPr>
      </w:r>
      <w:r>
        <w:rPr>
          <w:rFonts w:ascii="Cambria Math" w:hAnsi="Cambria Math" w:eastAsia="Cambria Math" w:cs="Cambria Math"/>
          <w:sz w:val="24"/>
          <w:szCs w:val="24"/>
        </w:rPr>
      </w:r>
    </w:p>
    <w:p>
      <w:pPr>
        <w:pStyle w:val="736"/>
        <w:pBdr/>
        <w:spacing w:line="360" w:lineRule="auto"/>
        <w:ind w:firstLine="709"/>
        <w:jc w:val="center"/>
        <w:rPr>
          <w:sz w:val="36"/>
          <w:szCs w:val="36"/>
        </w:rPr>
      </w:pPr>
      <w:r/>
      <m:oMathPara>
        <m:oMathParaPr>
          <m:jc m:val="center"/>
        </m:oMathParaPr>
        <m:oMath>
          <m:r>
            <w:rPr>
              <w:rFonts w:ascii="Cambria Math" w:hAnsi="Cambria Math"/>
            </w:rPr>
            <m:rPr/>
            <m:t>Кфу</m:t>
          </m:r>
          <m:r>
            <w:rPr>
              <w:rFonts w:ascii="Cambria Math" w:hAnsi="Cambria Math"/>
            </w:rPr>
            <m:rPr/>
            <m:t>=</m:t>
          </m:r>
          <m:f>
            <m:fPr>
              <m:ctrlPr>
                <w:rPr>
                  <w:rFonts w:ascii="Cambria Math" w:hAnsi="Cambria Math" w:eastAsia="Cambria Math" w:cs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 w:eastAsia="Cambria Math" w:cs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rPr/>
                    <m:t>Ксоб</m:t>
                  </m:r>
                  <m:r>
                    <w:rPr>
                      <w:rFonts w:ascii="Cambria Math" w:hAnsi="Cambria Math"/>
                    </w:rPr>
                    <m:rPr/>
                    <m:t>+</m:t>
                  </m:r>
                  <m:r>
                    <w:rPr>
                      <w:rFonts w:ascii="Cambria Math" w:hAnsi="Cambria Math"/>
                    </w:rPr>
                    <m:rPr/>
                    <m:t>Добс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rPr/>
                <m:t>Бпас</m:t>
              </m:r>
            </m:den>
          </m:f>
        </m:oMath>
      </m:oMathPara>
      <w:r/>
      <w:bookmarkStart w:id="5" w:name="_Hlk164073333"/>
      <w:r/>
      <w:bookmarkStart w:id="6" w:name="_Hlk164073521"/>
      <w:r/>
      <w:bookmarkStart w:id="7" w:name="_Hlk164073247"/>
      <w:r/>
      <w:bookmarkEnd w:id="5"/>
      <w:r/>
      <w:bookmarkEnd w:id="6"/>
      <w:r/>
      <w:bookmarkEnd w:id="7"/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Ксоб </w:t>
      </w:r>
      <w:r>
        <w:rPr>
          <w:iCs/>
          <w:sz w:val="28"/>
          <w:szCs w:val="28"/>
        </w:rPr>
        <w:t xml:space="preserve">– собственный капитал, включающий имеющи</w:t>
      </w:r>
      <w:r>
        <w:rPr>
          <w:iCs/>
          <w:sz w:val="28"/>
          <w:szCs w:val="28"/>
        </w:rPr>
        <w:t xml:space="preserve">е</w:t>
      </w:r>
      <w:r>
        <w:rPr>
          <w:iCs/>
          <w:sz w:val="28"/>
          <w:szCs w:val="28"/>
        </w:rPr>
        <w:t xml:space="preserve">ся резервы;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Добс – </w:t>
      </w:r>
      <w:r>
        <w:rPr>
          <w:iCs/>
          <w:sz w:val="28"/>
          <w:szCs w:val="28"/>
        </w:rPr>
        <w:t xml:space="preserve">долгосрочные обязательства </w:t>
      </w:r>
      <w:r>
        <w:rPr>
          <w:iCs/>
          <w:sz w:val="28"/>
          <w:szCs w:val="28"/>
        </w:rPr>
        <w:t xml:space="preserve">(кредиты и займы);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736"/>
        <w:pBdr/>
        <w:spacing w:line="360" w:lineRule="auto"/>
        <w:ind w:firstLine="567"/>
        <w:jc w:val="both"/>
        <w:rPr>
          <w:iCs/>
          <w:sz w:val="28"/>
          <w:szCs w:val="28"/>
          <w:highlight w:val="none"/>
        </w:rPr>
      </w:pPr>
      <w:r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Бпас – </w:t>
      </w:r>
      <w:r>
        <w:rPr>
          <w:iCs/>
          <w:sz w:val="28"/>
          <w:szCs w:val="28"/>
        </w:rPr>
        <w:t xml:space="preserve">валюта баланса.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  <w:highlight w:val="none"/>
        </w:rPr>
      </w:pPr>
      <w:r>
        <w:rPr>
          <w:b w:val="0"/>
          <w:bCs w:val="0"/>
          <w:iCs/>
          <w:sz w:val="28"/>
          <w:szCs w:val="28"/>
        </w:rPr>
        <w:t xml:space="preserve">Если</w:t>
      </w:r>
      <w:r>
        <w:rPr>
          <w:b/>
          <w:bCs/>
          <w:iCs/>
          <w:sz w:val="28"/>
          <w:szCs w:val="28"/>
        </w:rPr>
        <w:t xml:space="preserve"> Кфу &gt; 0,75</w:t>
      </w:r>
      <w:r>
        <w:rPr>
          <w:iCs/>
          <w:sz w:val="28"/>
          <w:szCs w:val="28"/>
        </w:rPr>
        <w:t xml:space="preserve">, это свидетельствует о хорошем уровне, при котором  организация финансово устойчива и имеет тенденцию к росту;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  <w:highlight w:val="none"/>
        </w:rPr>
      </w:pPr>
      <w:r>
        <w:rPr>
          <w:b w:val="0"/>
          <w:bCs w:val="0"/>
          <w:iCs/>
          <w:sz w:val="28"/>
          <w:szCs w:val="28"/>
        </w:rPr>
        <w:t xml:space="preserve">Если</w:t>
      </w:r>
      <w:r>
        <w:rPr>
          <w:b/>
          <w:bCs/>
          <w:iCs/>
          <w:sz w:val="28"/>
          <w:szCs w:val="28"/>
        </w:rPr>
        <w:t xml:space="preserve"> Кфу &lt; 0,75</w:t>
      </w:r>
      <w:r>
        <w:rPr>
          <w:iCs/>
          <w:sz w:val="28"/>
          <w:szCs w:val="28"/>
        </w:rPr>
        <w:t xml:space="preserve">, это свидетельствует о низком уровне, при котором возможно ухудшение финансовой устойчивости организации.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 (Кфн) производится по формуле: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rFonts w:ascii="Cambria Math" w:hAnsi="Cambria Math" w:eastAsia="Cambria Math" w:cs="Cambria Math"/>
          <w:sz w:val="32"/>
          <w:szCs w:val="32"/>
        </w:rPr>
      </w:pPr>
      <w:r>
        <w:rPr>
          <w:rFonts w:ascii="Cambria Math" w:hAnsi="Cambria Math" w:eastAsia="Cambria Math" w:cs="Cambria Math"/>
          <w:sz w:val="32"/>
          <w:szCs w:val="32"/>
        </w:rPr>
      </w:r>
      <w:r>
        <w:rPr>
          <w:rFonts w:ascii="Cambria Math" w:hAnsi="Cambria Math" w:eastAsia="Cambria Math" w:cs="Cambria Math"/>
          <w:sz w:val="32"/>
          <w:szCs w:val="32"/>
        </w:rPr>
      </w:r>
      <w:r>
        <w:rPr>
          <w:rFonts w:ascii="Cambria Math" w:hAnsi="Cambria Math" w:eastAsia="Cambria Math" w:cs="Cambria Math"/>
          <w:sz w:val="32"/>
          <w:szCs w:val="32"/>
        </w:rPr>
      </w:r>
    </w:p>
    <w:p>
      <w:pPr>
        <w:pStyle w:val="736"/>
        <w:pBdr/>
        <w:spacing w:line="360" w:lineRule="auto"/>
        <w:ind w:firstLine="709"/>
        <w:jc w:val="center"/>
        <w:rPr>
          <w:sz w:val="36"/>
          <w:szCs w:val="36"/>
        </w:rPr>
      </w:pPr>
      <w:r/>
      <m:oMathPara>
        <m:oMathParaPr>
          <m:jc m:val="center"/>
        </m:oMathParaPr>
        <m:oMath>
          <m:r>
            <w:rPr>
              <w:rFonts w:ascii="Cambria Math" w:hAnsi="Cambria Math"/>
            </w:rPr>
            <m:rPr/>
            <m:t>Кфн</m:t>
          </m:r>
          <m:r>
            <w:rPr>
              <w:rFonts w:ascii="Cambria Math" w:hAnsi="Cambria Math"/>
            </w:rPr>
            <m:rPr/>
            <m:t>=</m:t>
          </m:r>
          <m:f>
            <m:fPr>
              <m:ctrlPr>
                <w:rPr>
                  <w:rFonts w:ascii="Cambria Math" w:hAnsi="Cambria Math" w:eastAsia="Cambria Math" w:cs="Cambria Math"/>
                </w:rPr>
              </m:ctrlPr>
            </m:fPr>
            <m:num>
              <m:r>
                <w:rPr>
                  <w:rFonts w:ascii="Cambria Math" w:hAnsi="Cambria Math"/>
                </w:rPr>
                <m:rPr/>
                <m:t>Ксоб</m:t>
              </m:r>
            </m:num>
            <m:den>
              <m:r>
                <w:rPr>
                  <w:rFonts w:ascii="Cambria Math" w:hAnsi="Cambria Math"/>
                </w:rPr>
                <m:rPr/>
                <m:t>Бпас</m:t>
              </m:r>
            </m:den>
          </m:f>
        </m:oMath>
      </m:oMathPara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736"/>
        <w:pBdr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Ксоб </w:t>
      </w:r>
      <w:r>
        <w:rPr>
          <w:iCs/>
          <w:sz w:val="28"/>
          <w:szCs w:val="28"/>
        </w:rPr>
        <w:t xml:space="preserve">– собственный капитал, включающий имеющи</w:t>
      </w:r>
      <w:r>
        <w:rPr>
          <w:iCs/>
          <w:sz w:val="28"/>
          <w:szCs w:val="28"/>
        </w:rPr>
        <w:t xml:space="preserve">е</w:t>
      </w:r>
      <w:r>
        <w:rPr>
          <w:iCs/>
          <w:sz w:val="28"/>
          <w:szCs w:val="28"/>
        </w:rPr>
        <w:t xml:space="preserve">ся резервы;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iCs/>
          <w:sz w:val="28"/>
          <w:szCs w:val="28"/>
          <w:highlight w:val="none"/>
        </w:rPr>
      </w:pPr>
      <w:r>
        <w:rPr>
          <w:iCs/>
          <w:sz w:val="32"/>
          <w:szCs w:val="32"/>
        </w:rPr>
        <w:t xml:space="preserve">  </w:t>
      </w:r>
      <w:r>
        <w:rPr>
          <w:iCs/>
          <w:sz w:val="32"/>
          <w:szCs w:val="32"/>
        </w:rPr>
        <w:t xml:space="preserve">Бпас – </w:t>
      </w:r>
      <w:r>
        <w:rPr>
          <w:iCs/>
          <w:sz w:val="28"/>
          <w:szCs w:val="28"/>
        </w:rPr>
        <w:t xml:space="preserve">валюта баланса.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  <w:highlight w:val="none"/>
        </w:rPr>
      </w:pPr>
      <w:r>
        <w:rPr>
          <w:iCs/>
          <w:sz w:val="28"/>
          <w:szCs w:val="28"/>
        </w:rPr>
        <w:t xml:space="preserve">Если </w:t>
      </w:r>
      <w:r>
        <w:rPr>
          <w:b/>
          <w:bCs/>
          <w:iCs/>
          <w:sz w:val="28"/>
          <w:szCs w:val="28"/>
        </w:rPr>
        <w:t xml:space="preserve">Кфн &gt; 0,5,</w:t>
      </w:r>
      <w:r>
        <w:rPr>
          <w:iCs/>
          <w:sz w:val="28"/>
          <w:szCs w:val="28"/>
        </w:rPr>
        <w:t xml:space="preserve"> риск неплатежеспособности организации минимален;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  <w:highlight w:val="none"/>
        </w:rPr>
      </w:pPr>
      <w:r>
        <w:rPr>
          <w:b/>
          <w:bCs/>
          <w:iCs/>
          <w:sz w:val="28"/>
          <w:szCs w:val="28"/>
        </w:rPr>
        <w:t xml:space="preserve">Кфн от 0.25 до 0,5</w:t>
      </w:r>
      <w:r>
        <w:rPr>
          <w:iCs/>
          <w:sz w:val="28"/>
          <w:szCs w:val="28"/>
        </w:rPr>
        <w:t xml:space="preserve">, характеризует стабильное финансовое состояние организации и ее платежеспособность;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  <w:highlight w:val="none"/>
        </w:rPr>
      </w:pPr>
      <w:r>
        <w:rPr>
          <w:iCs/>
          <w:sz w:val="28"/>
          <w:szCs w:val="28"/>
        </w:rPr>
        <w:t xml:space="preserve">Если </w:t>
      </w:r>
      <w:r>
        <w:rPr>
          <w:b/>
          <w:bCs/>
          <w:iCs/>
          <w:sz w:val="28"/>
          <w:szCs w:val="28"/>
        </w:rPr>
        <w:t xml:space="preserve">Кфн&lt;0,25</w:t>
      </w:r>
      <w:r>
        <w:rPr>
          <w:iCs/>
          <w:sz w:val="28"/>
          <w:szCs w:val="28"/>
        </w:rPr>
        <w:t xml:space="preserve">, организация финансово неустойчива.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Расчет (Кпб) производится по формуле: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center"/>
        <w:rPr>
          <w:sz w:val="36"/>
          <w:szCs w:val="36"/>
          <w:highlight w:val="none"/>
        </w:rPr>
      </w:pPr>
      <w:r/>
      <m:oMathPara>
        <m:oMathParaPr>
          <m:jc m:val="center"/>
        </m:oMathParaPr>
        <m:oMath>
          <m:r>
            <w:rPr>
              <w:rFonts w:ascii="Cambria Math" w:hAnsi="Cambria Math"/>
            </w:rPr>
            <m:rPr/>
            <m:t>Кпб</m:t>
          </m:r>
          <m:r>
            <w:rPr>
              <w:rFonts w:ascii="Cambria Math" w:hAnsi="Cambria Math"/>
            </w:rPr>
            <m:rPr/>
            <m:t>=</m:t>
          </m:r>
          <m:f>
            <m:fPr>
              <m:ctrlPr>
                <w:rPr>
                  <w:rFonts w:ascii="Cambria Math" w:hAnsi="Cambria Math" w:eastAsia="Cambria Math" w:cs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 w:eastAsia="Cambria Math" w:cs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rPr/>
                    <m:t>Оа</m:t>
                  </m:r>
                  <m:r>
                    <w:rPr>
                      <w:rFonts w:ascii="Cambria Math" w:hAnsi="Cambria Math"/>
                    </w:rPr>
                    <m:rPr/>
                    <m:t>+</m:t>
                  </m:r>
                  <m:r>
                    <w:rPr>
                      <w:rFonts w:ascii="Cambria Math" w:hAnsi="Cambria Math"/>
                    </w:rPr>
                    <m:rPr/>
                    <m:t>Она</m:t>
                  </m:r>
                  <m:r>
                    <w:rPr>
                      <w:rFonts w:ascii="Cambria Math" w:hAnsi="Cambria Math"/>
                    </w:rPr>
                    <m:rPr/>
                    <m:t>−</m:t>
                  </m:r>
                  <m:r>
                    <w:rPr>
                      <w:rFonts w:ascii="Cambria Math" w:hAnsi="Cambria Math"/>
                    </w:rPr>
                    <m:rPr/>
                    <m:t>КРоб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rPr/>
                <m:t>Бпас</m:t>
              </m:r>
            </m:den>
          </m:f>
        </m:oMath>
      </m:oMathPara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Оа </w:t>
      </w:r>
      <w:r>
        <w:rPr>
          <w:iCs/>
          <w:sz w:val="28"/>
          <w:szCs w:val="28"/>
        </w:rPr>
        <w:t xml:space="preserve">– оборотные активы;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567"/>
        <w:jc w:val="both"/>
        <w:rPr>
          <w:iCs/>
          <w:sz w:val="28"/>
          <w:szCs w:val="28"/>
          <w:highlight w:val="none"/>
        </w:rPr>
      </w:pPr>
      <w:r>
        <w:rPr>
          <w:iCs/>
          <w:sz w:val="32"/>
          <w:szCs w:val="32"/>
        </w:rPr>
        <w:t xml:space="preserve">  </w:t>
      </w:r>
      <w:r>
        <w:rPr>
          <w:iCs/>
          <w:sz w:val="28"/>
          <w:szCs w:val="28"/>
        </w:rPr>
        <w:t xml:space="preserve">Она</w:t>
      </w:r>
      <w:r>
        <w:rPr>
          <w:iCs/>
          <w:sz w:val="32"/>
          <w:szCs w:val="32"/>
        </w:rPr>
        <w:t xml:space="preserve"> – </w:t>
      </w:r>
      <w:r>
        <w:rPr>
          <w:iCs/>
          <w:sz w:val="28"/>
          <w:szCs w:val="28"/>
        </w:rPr>
        <w:t xml:space="preserve">отложенные налоговые активы;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КРоб </w:t>
      </w:r>
      <w:r>
        <w:rPr>
          <w:iCs/>
          <w:sz w:val="28"/>
          <w:szCs w:val="28"/>
        </w:rPr>
        <w:t xml:space="preserve">– краткосрочные обязательства;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Бпас </w:t>
      </w:r>
      <w:r>
        <w:rPr>
          <w:iCs/>
          <w:sz w:val="28"/>
          <w:szCs w:val="28"/>
        </w:rPr>
        <w:t xml:space="preserve">– валюта баланса.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pBdr/>
        <w:spacing w:line="360" w:lineRule="auto"/>
        <w:ind w:right="0" w:firstLine="709" w:left="-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Кпб &lt; 0</w:t>
      </w:r>
      <w:r>
        <w:rPr>
          <w:sz w:val="28"/>
          <w:szCs w:val="28"/>
        </w:rPr>
        <w:t xml:space="preserve">, высокая вероятность банкротства в течение 6 месяцев;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right="0" w:firstLine="709" w:left="-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Кпб &lt; 0,5</w:t>
      </w:r>
      <w:r>
        <w:rPr>
          <w:sz w:val="28"/>
          <w:szCs w:val="28"/>
        </w:rPr>
        <w:t xml:space="preserve">, средняя вероятность банкротства в течение 6 месяцев;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right="0" w:firstLine="709" w:left="-142"/>
        <w:jc w:val="both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Кпб &gt; 0,5</w:t>
      </w:r>
      <w:r>
        <w:rPr>
          <w:sz w:val="28"/>
          <w:szCs w:val="28"/>
        </w:rPr>
        <w:t xml:space="preserve">, низкая вероятность банкротства в течение 6 месяцев.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8"/>
        <w:pBdr/>
        <w:spacing w:after="240" w:before="40"/>
        <w:ind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13" w:name="_Toc6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Результат моделирования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13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736"/>
        <w:pBdr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моделирования являются показатели </w:t>
      </w:r>
      <w:r>
        <w:rPr>
          <w:sz w:val="28"/>
          <w:szCs w:val="28"/>
        </w:rPr>
        <w:t xml:space="preserve">коэффициентов, отражающие финансовую устойчивость хозяйствующих субъектов.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pBdr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0" w:right="851" w:bottom="851" w:left="1276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ymbol">
    <w:panose1 w:val="05010000000000000000"/>
  </w:font>
  <w:font w:name="Calibri">
    <w:panose1 w:val="020F0502020204030204"/>
  </w:font>
  <w:font w:name="Batang">
    <w:panose1 w:val="02000506000000020000"/>
  </w:font>
  <w:font w:name="Wingdings">
    <w:panose1 w:val="05010000000000000000"/>
  </w:font>
  <w:font w:name="Lucida Sans">
    <w:panose1 w:val="020B0502040504020204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  <w:font w:name="Microsoft YaHei">
    <w:panose1 w:val="020B0503020203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  <w:p>
    <w:pPr>
      <w:pStyle w:val="815"/>
      <w:pBdr/>
      <w:spacing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815"/>
      <w:pBdr/>
      <w:spacing/>
      <w:ind/>
      <w:jc w:val="center"/>
      <w:rPr>
        <w:color w:val="auto"/>
        <w:highlight w:val="none"/>
      </w:rPr>
    </w:pPr>
    <w:fldSimple w:instr="PAGE \* MERGEFORMAT">
      <w:r>
        <w:rPr>
          <w:color w:val="auto"/>
        </w:rPr>
        <w:t xml:space="preserve">1</w:t>
      </w:r>
    </w:fldSimple>
    <w:r>
      <w:rPr>
        <w:color w:val="auto"/>
      </w:rPr>
    </w:r>
    <w:r>
      <w:rPr>
        <w:color w:val="auto"/>
        <w:highlight w:val="none"/>
      </w:rPr>
    </w:r>
    <w:r>
      <w:rPr>
        <w:color w:val="auto"/>
        <w:highlight w:val="none"/>
      </w:rPr>
    </w:r>
  </w:p>
  <w:p>
    <w:pPr>
      <w:pStyle w:val="81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toc 3"/>
    <w:basedOn w:val="736"/>
    <w:next w:val="736"/>
    <w:uiPriority w:val="39"/>
    <w:unhideWhenUsed/>
    <w:pPr>
      <w:pBdr/>
      <w:spacing w:after="100"/>
      <w:ind w:left="440"/>
    </w:pPr>
  </w:style>
  <w:style w:type="paragraph" w:styleId="730">
    <w:name w:val="toc 4"/>
    <w:basedOn w:val="736"/>
    <w:next w:val="736"/>
    <w:uiPriority w:val="39"/>
    <w:unhideWhenUsed/>
    <w:pPr>
      <w:pBdr/>
      <w:spacing w:after="100"/>
      <w:ind w:left="660"/>
    </w:pPr>
  </w:style>
  <w:style w:type="paragraph" w:styleId="731">
    <w:name w:val="toc 5"/>
    <w:basedOn w:val="736"/>
    <w:next w:val="736"/>
    <w:uiPriority w:val="39"/>
    <w:unhideWhenUsed/>
    <w:pPr>
      <w:pBdr/>
      <w:spacing w:after="100"/>
      <w:ind w:left="880"/>
    </w:pPr>
  </w:style>
  <w:style w:type="paragraph" w:styleId="732">
    <w:name w:val="toc 6"/>
    <w:basedOn w:val="736"/>
    <w:next w:val="736"/>
    <w:uiPriority w:val="39"/>
    <w:unhideWhenUsed/>
    <w:pPr>
      <w:pBdr/>
      <w:spacing w:after="100"/>
      <w:ind w:left="1100"/>
    </w:pPr>
  </w:style>
  <w:style w:type="paragraph" w:styleId="733">
    <w:name w:val="toc 7"/>
    <w:basedOn w:val="736"/>
    <w:next w:val="736"/>
    <w:uiPriority w:val="39"/>
    <w:unhideWhenUsed/>
    <w:pPr>
      <w:pBdr/>
      <w:spacing w:after="100"/>
      <w:ind w:left="1320"/>
    </w:pPr>
  </w:style>
  <w:style w:type="paragraph" w:styleId="734">
    <w:name w:val="toc 8"/>
    <w:basedOn w:val="736"/>
    <w:next w:val="736"/>
    <w:uiPriority w:val="39"/>
    <w:unhideWhenUsed/>
    <w:pPr>
      <w:pBdr/>
      <w:spacing w:after="100"/>
      <w:ind w:left="1540"/>
    </w:pPr>
  </w:style>
  <w:style w:type="paragraph" w:styleId="735">
    <w:name w:val="toc 9"/>
    <w:basedOn w:val="736"/>
    <w:next w:val="736"/>
    <w:uiPriority w:val="39"/>
    <w:unhideWhenUsed/>
    <w:pPr>
      <w:pBdr/>
      <w:spacing w:after="100"/>
      <w:ind w:left="1760"/>
    </w:pPr>
  </w:style>
  <w:style w:type="paragraph" w:styleId="736" w:default="1">
    <w:name w:val="Normal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37">
    <w:name w:val="Heading 1"/>
    <w:basedOn w:val="736"/>
    <w:next w:val="736"/>
    <w:link w:val="782"/>
    <w:qFormat/>
    <w:pPr>
      <w:keepNext w:val="true"/>
      <w:keepLines w:val="true"/>
      <w:pBdr/>
      <w:spacing w:after="0" w:before="480" w:line="276" w:lineRule="auto"/>
      <w:ind/>
      <w:outlineLvl w:val="0"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738">
    <w:name w:val="Heading 2"/>
    <w:basedOn w:val="736"/>
    <w:next w:val="736"/>
    <w:link w:val="791"/>
    <w:unhideWhenUsed/>
    <w:qFormat/>
    <w:pPr>
      <w:keepNext w:val="true"/>
      <w:keepLines w:val="true"/>
      <w:pBdr/>
      <w:spacing w:after="0" w:before="40"/>
      <w:ind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739">
    <w:name w:val="Heading 3"/>
    <w:basedOn w:val="736"/>
    <w:next w:val="736"/>
    <w:link w:val="793"/>
    <w:qFormat/>
    <w:pPr>
      <w:keepNext w:val="true"/>
      <w:pBdr/>
      <w:spacing/>
      <w:ind w:firstLine="900"/>
      <w:jc w:val="center"/>
      <w:outlineLvl w:val="2"/>
    </w:pPr>
    <w:rPr>
      <w:b/>
      <w:sz w:val="28"/>
    </w:rPr>
  </w:style>
  <w:style w:type="paragraph" w:styleId="740">
    <w:name w:val="Heading 4"/>
    <w:basedOn w:val="736"/>
    <w:next w:val="736"/>
    <w:link w:val="7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1">
    <w:name w:val="Heading 5"/>
    <w:basedOn w:val="736"/>
    <w:next w:val="736"/>
    <w:link w:val="7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2">
    <w:name w:val="Heading 6"/>
    <w:basedOn w:val="736"/>
    <w:next w:val="736"/>
    <w:link w:val="7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3">
    <w:name w:val="Heading 7"/>
    <w:basedOn w:val="736"/>
    <w:next w:val="736"/>
    <w:link w:val="7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4">
    <w:name w:val="Heading 8"/>
    <w:basedOn w:val="736"/>
    <w:next w:val="736"/>
    <w:link w:val="753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5">
    <w:name w:val="Heading 9"/>
    <w:basedOn w:val="736"/>
    <w:next w:val="736"/>
    <w:link w:val="754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6">
    <w:name w:val="Heading 1 Char"/>
    <w:basedOn w:val="77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7">
    <w:name w:val="Heading 2 Char"/>
    <w:basedOn w:val="77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8">
    <w:name w:val="Heading 3 Char"/>
    <w:basedOn w:val="77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9">
    <w:name w:val="Heading 4 Char"/>
    <w:basedOn w:val="77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0">
    <w:name w:val="Heading 5 Char"/>
    <w:basedOn w:val="77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1">
    <w:name w:val="Heading 6 Char"/>
    <w:basedOn w:val="77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2">
    <w:name w:val="Heading 7 Char"/>
    <w:basedOn w:val="7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3">
    <w:name w:val="Heading 8 Char"/>
    <w:basedOn w:val="77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4">
    <w:name w:val="Heading 9 Char"/>
    <w:basedOn w:val="77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5">
    <w:name w:val="Title Char"/>
    <w:basedOn w:val="77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6">
    <w:name w:val="Subtitle Char"/>
    <w:basedOn w:val="77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7">
    <w:name w:val="Quote Char"/>
    <w:basedOn w:val="772"/>
    <w:link w:val="80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Intense Emphasis"/>
    <w:basedOn w:val="7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Intense Quote Char"/>
    <w:basedOn w:val="772"/>
    <w:link w:val="803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7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763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4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5">
    <w:name w:val="Header Char"/>
    <w:basedOn w:val="772"/>
    <w:uiPriority w:val="99"/>
    <w:qFormat/>
    <w:pPr>
      <w:pBdr/>
      <w:spacing/>
      <w:ind/>
    </w:pPr>
  </w:style>
  <w:style w:type="character" w:styleId="766">
    <w:name w:val="Footer Char"/>
    <w:basedOn w:val="772"/>
    <w:uiPriority w:val="99"/>
    <w:qFormat/>
    <w:pPr>
      <w:pBdr/>
      <w:spacing/>
      <w:ind/>
    </w:pPr>
  </w:style>
  <w:style w:type="character" w:styleId="767">
    <w:name w:val="Footnote Text Char"/>
    <w:basedOn w:val="77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68">
    <w:name w:val="Endnote Text Char"/>
    <w:basedOn w:val="77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69">
    <w:name w:val="Символ концевой сноски"/>
    <w:basedOn w:val="77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70">
    <w:name w:val="endnote reference"/>
    <w:pPr>
      <w:pBdr/>
      <w:spacing/>
      <w:ind/>
    </w:pPr>
    <w:rPr>
      <w:vertAlign w:val="superscript"/>
    </w:rPr>
  </w:style>
  <w:style w:type="character" w:styleId="771">
    <w:name w:val="FollowedHyperlink"/>
    <w:basedOn w:val="7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73" w:customStyle="1">
    <w:name w:val="Основной текст Знак"/>
    <w:basedOn w:val="772"/>
    <w:qFormat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74" w:customStyle="1">
    <w:name w:val="Текст выноски Знак"/>
    <w:basedOn w:val="772"/>
    <w:link w:val="811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character" w:styleId="775" w:customStyle="1">
    <w:name w:val="Основной текст 3 Знак"/>
    <w:basedOn w:val="772"/>
    <w:link w:val="813"/>
    <w:qFormat/>
    <w:pPr>
      <w:pBdr/>
      <w:spacing/>
      <w:ind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76" w:customStyle="1">
    <w:name w:val="Верхний колонтитул Знак"/>
    <w:basedOn w:val="772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7" w:customStyle="1">
    <w:name w:val="Нижний колонтитул Знак"/>
    <w:basedOn w:val="772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8" w:customStyle="1">
    <w:name w:val="Основной текст с отступом 2 Знак"/>
    <w:basedOn w:val="772"/>
    <w:link w:val="817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9">
    <w:name w:val="Символ сноски"/>
    <w:basedOn w:val="772"/>
    <w:semiHidden/>
    <w:qFormat/>
    <w:pPr>
      <w:pBdr/>
      <w:spacing/>
      <w:ind/>
    </w:pPr>
    <w:rPr>
      <w:rFonts w:cs="Times New Roman"/>
      <w:vertAlign w:val="superscript"/>
    </w:rPr>
  </w:style>
  <w:style w:type="character" w:styleId="780">
    <w:name w:val="footnote reference"/>
    <w:pPr>
      <w:pBdr/>
      <w:spacing/>
      <w:ind/>
    </w:pPr>
    <w:rPr>
      <w:rFonts w:cs="Times New Roman"/>
      <w:vertAlign w:val="superscript"/>
    </w:rPr>
  </w:style>
  <w:style w:type="character" w:styleId="781">
    <w:name w:val="Hyperlink"/>
    <w:basedOn w:val="772"/>
    <w:uiPriority w:val="99"/>
    <w:pPr>
      <w:pBdr/>
      <w:spacing/>
      <w:ind/>
    </w:pPr>
    <w:rPr>
      <w:rFonts w:cs="Times New Roman"/>
      <w:color w:val="00317b"/>
      <w:u w:val="single"/>
    </w:rPr>
  </w:style>
  <w:style w:type="character" w:styleId="782" w:customStyle="1">
    <w:name w:val="Заголовок 1 Знак"/>
    <w:basedOn w:val="772"/>
    <w:uiPriority w:val="9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83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784" w:customStyle="1">
    <w:name w:val="Стандартный HTML Знак"/>
    <w:basedOn w:val="772"/>
    <w:link w:val="822"/>
    <w:uiPriority w:val="99"/>
    <w:qFormat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785" w:customStyle="1">
    <w:name w:val="Основной текст с отступом Знак"/>
    <w:basedOn w:val="772"/>
    <w:uiPriority w:val="99"/>
    <w:qFormat/>
    <w:pPr>
      <w:pBdr/>
      <w:spacing/>
      <w:ind/>
    </w:pPr>
  </w:style>
  <w:style w:type="character" w:styleId="786" w:customStyle="1">
    <w:name w:val="apple-converted-space"/>
    <w:basedOn w:val="772"/>
    <w:qFormat/>
    <w:pPr>
      <w:pBdr/>
      <w:spacing/>
      <w:ind/>
    </w:pPr>
  </w:style>
  <w:style w:type="character" w:styleId="787" w:customStyle="1">
    <w:name w:val="highlight"/>
    <w:basedOn w:val="772"/>
    <w:qFormat/>
    <w:pPr>
      <w:pBdr/>
      <w:spacing/>
      <w:ind/>
    </w:pPr>
  </w:style>
  <w:style w:type="character" w:styleId="788">
    <w:name w:val="Placeholder Text"/>
    <w:basedOn w:val="772"/>
    <w:uiPriority w:val="99"/>
    <w:semiHidden/>
    <w:qFormat/>
    <w:pPr>
      <w:pBdr/>
      <w:spacing/>
      <w:ind/>
    </w:pPr>
    <w:rPr>
      <w:color w:val="808080"/>
    </w:rPr>
  </w:style>
  <w:style w:type="character" w:styleId="789">
    <w:name w:val="page number"/>
    <w:basedOn w:val="772"/>
    <w:qFormat/>
    <w:pPr>
      <w:pBdr/>
      <w:spacing/>
      <w:ind/>
    </w:pPr>
  </w:style>
  <w:style w:type="character" w:styleId="790" w:customStyle="1">
    <w:name w:val="Основной текст 2 Знак"/>
    <w:basedOn w:val="772"/>
    <w:link w:val="82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91" w:customStyle="1">
    <w:name w:val="Заголовок 2 Знак"/>
    <w:basedOn w:val="772"/>
    <w:uiPriority w:val="9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92" w:customStyle="1">
    <w:name w:val="Без интервала Знак"/>
    <w:basedOn w:val="772"/>
    <w:link w:val="830"/>
    <w:uiPriority w:val="1"/>
    <w:qFormat/>
    <w:pPr>
      <w:pBdr/>
      <w:spacing/>
      <w:ind/>
    </w:pPr>
    <w:rPr>
      <w:rFonts w:eastAsia="Arial" w:eastAsiaTheme="minorEastAsia"/>
      <w:lang w:eastAsia="ru-RU"/>
    </w:rPr>
  </w:style>
  <w:style w:type="character" w:styleId="793" w:customStyle="1">
    <w:name w:val="Заголовок 3 Знак"/>
    <w:basedOn w:val="772"/>
    <w:qFormat/>
    <w:pPr>
      <w:pBdr/>
      <w:spacing/>
      <w:ind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794" w:customStyle="1">
    <w:name w:val="Основной текст с отступом 3 Знак"/>
    <w:basedOn w:val="772"/>
    <w:link w:val="831"/>
    <w:qFormat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95">
    <w:name w:val="Заголовок"/>
    <w:basedOn w:val="736"/>
    <w:next w:val="796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796">
    <w:name w:val="Body Text"/>
    <w:basedOn w:val="736"/>
    <w:link w:val="773"/>
    <w:pPr>
      <w:pBdr/>
      <w:spacing/>
      <w:ind/>
      <w:jc w:val="both"/>
    </w:pPr>
    <w:rPr>
      <w:szCs w:val="20"/>
    </w:rPr>
  </w:style>
  <w:style w:type="paragraph" w:styleId="797">
    <w:name w:val="List"/>
    <w:basedOn w:val="796"/>
    <w:pPr>
      <w:pBdr/>
      <w:spacing/>
      <w:ind/>
    </w:pPr>
    <w:rPr>
      <w:rFonts w:ascii="PT Astra Serif" w:hAnsi="PT Astra Serif" w:cs="Lucida Sans"/>
    </w:rPr>
  </w:style>
  <w:style w:type="paragraph" w:styleId="798">
    <w:name w:val="Caption"/>
    <w:basedOn w:val="736"/>
    <w:next w:val="736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99">
    <w:name w:val="Указатель"/>
    <w:basedOn w:val="736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800">
    <w:name w:val="Title"/>
    <w:basedOn w:val="736"/>
    <w:next w:val="736"/>
    <w:link w:val="75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01">
    <w:name w:val="Subtitle"/>
    <w:basedOn w:val="736"/>
    <w:next w:val="736"/>
    <w:link w:val="75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02">
    <w:name w:val="Quote"/>
    <w:basedOn w:val="736"/>
    <w:next w:val="736"/>
    <w:link w:val="757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803">
    <w:name w:val="Intense Quote"/>
    <w:basedOn w:val="736"/>
    <w:next w:val="736"/>
    <w:link w:val="759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0f4761" w:themeColor="accent1" w:themeShade="BF"/>
    </w:rPr>
  </w:style>
  <w:style w:type="paragraph" w:styleId="804">
    <w:name w:val="footnote text"/>
    <w:basedOn w:val="736"/>
    <w:link w:val="76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05">
    <w:name w:val="endnote text"/>
    <w:basedOn w:val="736"/>
    <w:link w:val="76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06">
    <w:name w:val="table of figures"/>
    <w:basedOn w:val="736"/>
    <w:next w:val="736"/>
    <w:uiPriority w:val="99"/>
    <w:unhideWhenUsed/>
    <w:qFormat/>
    <w:pPr>
      <w:pBdr/>
      <w:spacing w:after="0" w:afterAutospacing="0" w:before="0"/>
      <w:ind/>
    </w:pPr>
  </w:style>
  <w:style w:type="paragraph" w:styleId="807" w:customStyle="1">
    <w:name w:val="ConsNormal"/>
    <w:qFormat/>
    <w:pPr>
      <w:widowControl w:val="false"/>
      <w:pBdr/>
      <w:bidi w:val="false"/>
      <w:spacing w:after="0" w:afterAutospacing="0" w:before="0" w:beforeAutospacing="0" w:line="240" w:lineRule="auto"/>
      <w:ind w:right="19772" w:firstLine="720"/>
      <w:jc w:val="left"/>
    </w:pPr>
    <w:rPr>
      <w:rFonts w:ascii="Arial" w:hAnsi="Arial" w:eastAsia="Batang" w:cs="Arial" w:cstheme="minorBidi"/>
      <w:color w:val="auto"/>
      <w:sz w:val="20"/>
      <w:szCs w:val="20"/>
      <w:lang w:val="ru-RU" w:eastAsia="ko-KR" w:bidi="ar-SA"/>
    </w:rPr>
  </w:style>
  <w:style w:type="paragraph" w:styleId="808" w:customStyle="1">
    <w:name w:val="ConsPlusNormal"/>
    <w:qFormat/>
    <w:pPr>
      <w:widowControl w:val="true"/>
      <w:pBdr/>
      <w:bidi w:val="false"/>
      <w:spacing w:after="0" w:afterAutospacing="0" w:before="0" w:beforeAutospacing="0" w:line="240" w:lineRule="auto"/>
      <w:ind w:firstLine="72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09">
    <w:name w:val="List Paragraph"/>
    <w:basedOn w:val="736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/>
      <w:sz w:val="22"/>
      <w:szCs w:val="22"/>
    </w:rPr>
  </w:style>
  <w:style w:type="paragraph" w:styleId="810" w:customStyle="1">
    <w:name w:val="Default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811">
    <w:name w:val="Balloon Text"/>
    <w:basedOn w:val="736"/>
    <w:link w:val="774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12">
    <w:name w:val="Normal (Web)"/>
    <w:basedOn w:val="736"/>
    <w:uiPriority w:val="99"/>
    <w:semiHidden/>
    <w:unhideWhenUsed/>
    <w:qFormat/>
    <w:pPr>
      <w:pBdr/>
      <w:spacing w:afterAutospacing="1" w:beforeAutospacing="1"/>
      <w:ind/>
    </w:pPr>
  </w:style>
  <w:style w:type="paragraph" w:styleId="813">
    <w:name w:val="Body Text 3"/>
    <w:basedOn w:val="736"/>
    <w:link w:val="775"/>
    <w:qFormat/>
    <w:pPr>
      <w:pBdr/>
      <w:spacing w:after="120" w:before="0"/>
      <w:ind/>
    </w:pPr>
    <w:rPr>
      <w:sz w:val="16"/>
      <w:szCs w:val="16"/>
    </w:rPr>
  </w:style>
  <w:style w:type="paragraph" w:styleId="814">
    <w:name w:val="Колонтитул"/>
    <w:basedOn w:val="736"/>
    <w:qFormat/>
    <w:pPr>
      <w:pBdr/>
      <w:spacing/>
      <w:ind/>
    </w:pPr>
  </w:style>
  <w:style w:type="paragraph" w:styleId="815">
    <w:name w:val="Header"/>
    <w:basedOn w:val="736"/>
    <w:link w:val="776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816">
    <w:name w:val="Footer"/>
    <w:basedOn w:val="736"/>
    <w:link w:val="777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817">
    <w:name w:val="Body Text Indent 2"/>
    <w:basedOn w:val="736"/>
    <w:link w:val="778"/>
    <w:unhideWhenUsed/>
    <w:qFormat/>
    <w:pPr>
      <w:pBdr/>
      <w:spacing w:after="120" w:before="0" w:line="480" w:lineRule="auto"/>
      <w:ind w:firstLine="0" w:left="283"/>
    </w:pPr>
  </w:style>
  <w:style w:type="paragraph" w:styleId="818" w:customStyle="1">
    <w:name w:val="ist1"/>
    <w:basedOn w:val="736"/>
    <w:qFormat/>
    <w:pPr>
      <w:pBdr>
        <w:top w:val="single" w:color="5386c5" w:sz="12" w:space="0"/>
      </w:pBdr>
      <w:spacing/>
      <w:ind/>
    </w:pPr>
    <w:rPr>
      <w:i/>
      <w:iCs/>
      <w:sz w:val="30"/>
      <w:szCs w:val="30"/>
    </w:rPr>
  </w:style>
  <w:style w:type="paragraph" w:styleId="819" w:customStyle="1">
    <w:name w:val="Табл"/>
    <w:basedOn w:val="736"/>
    <w:qFormat/>
    <w:pPr>
      <w:pBdr/>
      <w:spacing/>
      <w:ind/>
    </w:pPr>
    <w:rPr>
      <w:szCs w:val="20"/>
    </w:rPr>
  </w:style>
  <w:style w:type="paragraph" w:styleId="820" w:customStyle="1">
    <w:name w:val="FR1"/>
    <w:qFormat/>
    <w:pPr>
      <w:widowControl w:val="false"/>
      <w:pBdr/>
      <w:bidi w:val="false"/>
      <w:spacing w:after="0" w:afterAutospacing="0" w:before="0" w:beforeAutospacing="0" w:line="240" w:lineRule="auto"/>
      <w:ind w:firstLine="0" w:left="3880"/>
      <w:jc w:val="left"/>
    </w:pPr>
    <w:rPr>
      <w:rFonts w:ascii="Arial" w:hAnsi="Arial" w:eastAsia="Times New Roman" w:cs="Times New Roman"/>
      <w:b/>
      <w:color w:val="auto"/>
      <w:sz w:val="20"/>
      <w:szCs w:val="20"/>
      <w:lang w:val="ru-RU" w:eastAsia="ru-RU" w:bidi="ar-SA"/>
    </w:rPr>
  </w:style>
  <w:style w:type="paragraph" w:styleId="821" w:customStyle="1">
    <w:name w:val="ConsPlusCell"/>
    <w:uiPriority w:val="99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Arial" w:hAnsi="Arial" w:eastAsia="Arial" w:cs="Arial" w:eastAsiaTheme="minorEastAsia"/>
      <w:color w:val="auto"/>
      <w:sz w:val="20"/>
      <w:szCs w:val="20"/>
      <w:lang w:val="ru-RU" w:eastAsia="ru-RU" w:bidi="ar-SA"/>
    </w:rPr>
  </w:style>
  <w:style w:type="paragraph" w:styleId="822">
    <w:name w:val="HTML Preformatted"/>
    <w:basedOn w:val="736"/>
    <w:link w:val="784"/>
    <w:uiPriority w:val="99"/>
    <w:unhideWhenUsed/>
    <w:qFormat/>
    <w:pPr>
      <w:pBdr/>
      <w:tabs>
        <w:tab w:val="clear" w:leader="none" w:pos="708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</w:rPr>
  </w:style>
  <w:style w:type="paragraph" w:styleId="823">
    <w:name w:val="Body Text Indent"/>
    <w:basedOn w:val="736"/>
    <w:link w:val="785"/>
    <w:uiPriority w:val="99"/>
    <w:unhideWhenUsed/>
    <w:pPr>
      <w:pBdr/>
      <w:spacing w:after="120" w:before="0" w:line="276" w:lineRule="auto"/>
      <w:ind w:firstLine="0" w:left="283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24" w:customStyle="1">
    <w:name w:val="ConsPlusNonformat"/>
    <w:uiPriority w:val="99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825">
    <w:name w:val="Body Text 2"/>
    <w:basedOn w:val="736"/>
    <w:link w:val="790"/>
    <w:qFormat/>
    <w:pPr>
      <w:pBdr/>
      <w:spacing w:after="120" w:before="0" w:line="480" w:lineRule="auto"/>
      <w:ind/>
    </w:pPr>
  </w:style>
  <w:style w:type="paragraph" w:styleId="826">
    <w:name w:val="Index Heading"/>
    <w:basedOn w:val="795"/>
    <w:pPr>
      <w:pBdr/>
      <w:spacing/>
      <w:ind/>
    </w:pPr>
  </w:style>
  <w:style w:type="paragraph" w:styleId="827">
    <w:name w:val="TOC Heading"/>
    <w:basedOn w:val="737"/>
    <w:next w:val="736"/>
    <w:uiPriority w:val="39"/>
    <w:unhideWhenUsed/>
    <w:qFormat/>
    <w:pPr>
      <w:pBdr/>
      <w:spacing w:after="0" w:before="240" w:line="259" w:lineRule="auto"/>
      <w:ind/>
      <w:outlineLvl w:val="9"/>
    </w:pPr>
    <w:rPr>
      <w:b w:val="0"/>
      <w:bCs w:val="0"/>
      <w:sz w:val="32"/>
      <w:szCs w:val="32"/>
      <w:lang w:eastAsia="ru-RU"/>
    </w:rPr>
  </w:style>
  <w:style w:type="paragraph" w:styleId="828">
    <w:name w:val="toc 1"/>
    <w:basedOn w:val="736"/>
    <w:next w:val="736"/>
    <w:uiPriority w:val="39"/>
    <w:unhideWhenUsed/>
    <w:pPr>
      <w:pBdr/>
      <w:spacing w:after="100" w:before="0"/>
      <w:ind/>
    </w:pPr>
  </w:style>
  <w:style w:type="paragraph" w:styleId="829">
    <w:name w:val="toc 2"/>
    <w:basedOn w:val="736"/>
    <w:next w:val="736"/>
    <w:uiPriority w:val="39"/>
    <w:unhideWhenUsed/>
    <w:pPr>
      <w:pBdr/>
      <w:spacing w:after="100" w:before="0"/>
      <w:ind w:firstLine="0" w:left="240"/>
    </w:pPr>
  </w:style>
  <w:style w:type="paragraph" w:styleId="830">
    <w:name w:val="No Spacing"/>
    <w:link w:val="792"/>
    <w:uiPriority w:val="1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Calibri" w:hAnsi="Calibri" w:eastAsia="Arial" w:cs="Arial" w:eastAsiaTheme="minorEastAsia"/>
      <w:color w:val="auto"/>
      <w:sz w:val="22"/>
      <w:szCs w:val="22"/>
      <w:lang w:val="ru-RU" w:eastAsia="ru-RU" w:bidi="ar-SA"/>
    </w:rPr>
  </w:style>
  <w:style w:type="paragraph" w:styleId="831">
    <w:name w:val="Body Text Indent 3"/>
    <w:basedOn w:val="736"/>
    <w:link w:val="794"/>
    <w:qFormat/>
    <w:pPr>
      <w:pBdr/>
      <w:spacing/>
      <w:ind w:firstLine="900"/>
      <w:jc w:val="both"/>
    </w:pPr>
    <w:rPr>
      <w:sz w:val="28"/>
    </w:rPr>
  </w:style>
  <w:style w:type="paragraph" w:styleId="832" w:customStyle="1">
    <w:name w:val="ConsNonformat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33" w:customStyle="1">
    <w:name w:val="ConsTitle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Arial" w:hAnsi="Arial" w:eastAsia="Times New Roman" w:cs="Arial" w:cstheme="minorBidi"/>
      <w:b/>
      <w:bCs/>
      <w:color w:val="auto"/>
      <w:sz w:val="16"/>
      <w:szCs w:val="16"/>
      <w:lang w:val="ru-RU" w:eastAsia="ru-RU" w:bidi="ar-SA"/>
    </w:rPr>
  </w:style>
  <w:style w:type="paragraph" w:styleId="834" w:customStyle="1">
    <w:name w:val="ConsCell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numbering" w:styleId="835" w:default="1">
    <w:name w:val="No List"/>
    <w:uiPriority w:val="99"/>
    <w:semiHidden/>
    <w:unhideWhenUsed/>
    <w:qFormat/>
    <w:pPr>
      <w:pBdr/>
      <w:spacing/>
      <w:ind/>
    </w:pPr>
  </w:style>
  <w:style w:type="table" w:styleId="836">
    <w:name w:val="Table Grid Light"/>
    <w:basedOn w:val="96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1"/>
    <w:basedOn w:val="96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2"/>
    <w:basedOn w:val="96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Table Grid"/>
    <w:basedOn w:val="961"/>
    <w:pPr>
      <w:pBdr/>
      <w:spacing w:after="0" w:line="240" w:lineRule="auto"/>
      <w:ind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749D93-6D92-4AE5-AA4B-4E26069F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ЦЭСИ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chichkanova</dc:creator>
  <dc:description/>
  <dc:language>ru-RU</dc:language>
  <cp:revision>20</cp:revision>
  <dcterms:created xsi:type="dcterms:W3CDTF">2024-07-03T12:55:00Z</dcterms:created>
  <dcterms:modified xsi:type="dcterms:W3CDTF">2024-12-04T14:00:23Z</dcterms:modified>
</cp:coreProperties>
</file>