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ПАСПОРТ МОДЕЛИ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after="0" w:line="240" w:lineRule="auto"/>
        <w:ind/>
        <w:rPr>
          <w:u w:val="single"/>
        </w:rPr>
      </w:pPr>
      <w:r>
        <w:rPr>
          <w:b/>
        </w:rPr>
        <w:t xml:space="preserve">Наименование организации/предприятия</w:t>
      </w:r>
      <w:r>
        <w:rPr>
          <w:b/>
        </w:rPr>
        <w:t xml:space="preserve">  </w:t>
      </w:r>
      <w:r>
        <w:rPr>
          <w:b/>
        </w:rPr>
        <w:t xml:space="preserve"> </w:t>
      </w:r>
      <w:r>
        <w:rPr>
          <w:u w:val="single"/>
        </w:rPr>
        <w:t xml:space="preserve">ГБУ «Центр экономических и социальных исследований Республики </w:t>
      </w:r>
      <w:r>
        <w:rPr>
          <w:u w:val="single"/>
        </w:rPr>
        <w:t xml:space="preserve"> 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 w:line="240" w:lineRule="auto"/>
        <w:ind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 xml:space="preserve">Татарстан</w:t>
      </w:r>
      <w:r>
        <w:rPr>
          <w:u w:val="single"/>
        </w:rPr>
        <w:t xml:space="preserve"> при Кабинете Министров Республики Татарстан</w:t>
      </w:r>
      <w:r>
        <w:rPr>
          <w:u w:val="single"/>
        </w:rPr>
        <w:t xml:space="preserve">» </w:t>
      </w:r>
      <w:r>
        <w:rPr>
          <w:u w:val="single"/>
        </w:rPr>
        <w:t xml:space="preserve">/</w:t>
      </w:r>
      <w:r>
        <w:rPr>
          <w:u w:val="single"/>
        </w:rPr>
        <w:t xml:space="preserve"> </w:t>
      </w:r>
      <w:r>
        <w:rPr>
          <w:u w:val="single"/>
        </w:rPr>
        <w:t xml:space="preserve">ГБУ «ЦЭСИ РТ»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u w:val="single"/>
        </w:rPr>
      </w:pPr>
      <w:r>
        <w:rPr>
          <w:b/>
        </w:rPr>
        <w:t xml:space="preserve">Дата</w:t>
      </w:r>
      <w:r>
        <w:t xml:space="preserve"> </w:t>
      </w:r>
      <w:r>
        <w:t xml:space="preserve">  </w:t>
      </w:r>
      <w:r>
        <w:t xml:space="preserve">  </w:t>
      </w:r>
      <w:r>
        <w:rPr>
          <w:u w:val="single"/>
        </w:rPr>
        <w:t xml:space="preserve">20</w:t>
      </w:r>
      <w:r>
        <w:rPr>
          <w:u w:val="single"/>
        </w:rPr>
        <w:t xml:space="preserve">2</w:t>
      </w:r>
      <w:r>
        <w:rPr>
          <w:u w:val="single"/>
        </w:rPr>
        <w:t xml:space="preserve">4</w:t>
      </w:r>
      <w:r>
        <w:rPr>
          <w:u w:val="single"/>
        </w:rPr>
        <w:t xml:space="preserve"> </w:t>
      </w:r>
      <w:r>
        <w:rPr>
          <w:u w:val="single"/>
        </w:rPr>
        <w:t xml:space="preserve">г</w:t>
      </w:r>
      <w:r>
        <w:rPr>
          <w:u w:val="single"/>
        </w:rPr>
        <w:t xml:space="preserve">од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/>
        <w:ind/>
        <w:rPr>
          <w:b/>
        </w:rPr>
      </w:pPr>
      <w:r>
        <w:rPr>
          <w:b/>
        </w:rPr>
        <w:t xml:space="preserve">Наименование модели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 xml:space="preserve">Оценка финансовой устойчивости хозяйствующих субъектов </w:t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u w:val="single"/>
        </w:rPr>
      </w:pPr>
      <w:r>
        <w:rPr>
          <w:b/>
        </w:rPr>
        <w:t xml:space="preserve">Тип модели   </w:t>
      </w:r>
      <w:r>
        <w:rPr>
          <w:u w:val="single"/>
        </w:rPr>
        <w:t xml:space="preserve">И</w:t>
      </w:r>
      <w:r>
        <w:rPr>
          <w:u w:val="single"/>
        </w:rPr>
        <w:t xml:space="preserve">нформационно-аналитическая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u w:val="single"/>
        </w:rPr>
      </w:pPr>
      <w:r>
        <w:rPr>
          <w:b/>
          <w:bCs/>
        </w:rPr>
        <w:t xml:space="preserve">П</w:t>
      </w:r>
      <w:r>
        <w:rPr>
          <w:b/>
          <w:bCs/>
        </w:rPr>
        <w:t xml:space="preserve">ользовател</w:t>
      </w:r>
      <w:r>
        <w:rPr>
          <w:b/>
          <w:bCs/>
        </w:rPr>
        <w:t xml:space="preserve">и</w:t>
      </w:r>
      <w:r>
        <w:rPr>
          <w:b/>
          <w:bCs/>
        </w:rPr>
        <w:t xml:space="preserve"> модели</w:t>
      </w:r>
      <w:r>
        <w:t xml:space="preserve"> </w:t>
      </w:r>
      <w:r>
        <w:rPr>
          <w:u w:val="single"/>
        </w:rPr>
        <w:t xml:space="preserve">ГБУ «Центр экономических и социальных исследований Республики  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/>
        <w:ind/>
        <w:rPr>
          <w:b/>
        </w:rPr>
      </w:pPr>
      <w:r>
        <w:rPr>
          <w:u w:val="single"/>
        </w:rPr>
        <w:t xml:space="preserve"> Татарстан при Кабинете Министров Республики Татарстан»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both"/>
        <w:rPr>
          <w:u w:val="single"/>
        </w:rPr>
      </w:pPr>
      <w:r>
        <w:rPr>
          <w:b/>
        </w:rPr>
        <w:t xml:space="preserve">Назначение модели</w:t>
      </w:r>
      <w:r>
        <w:t xml:space="preserve"> </w:t>
      </w:r>
      <w:r>
        <w:rPr>
          <w:sz w:val="28"/>
          <w:szCs w:val="28"/>
          <w:u w:val="single"/>
        </w:rPr>
        <w:t xml:space="preserve">Оценка финансовой устойчивости хозяйствующих субъектов Республики Татарстан с целью определения их способности выполнять свои финансовые обязательства в краткосрочной и долгосрочной перспективе.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 w:line="24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/>
        <w:rPr/>
        <w:sectPr>
          <w:footnotePr/>
          <w:endnotePr/>
          <w:type w:val="nextPage"/>
          <w:pgSz w:h="11906" w:orient="landscape" w:w="16838"/>
          <w:pgMar w:top="1134" w:right="1134" w:bottom="567" w:left="1134" w:header="709" w:footer="709" w:gutter="0"/>
          <w:cols w:num="1" w:sep="0" w:space="708" w:equalWidth="1"/>
          <w:titlePg/>
        </w:sectPr>
      </w:pPr>
      <w:r/>
      <w:r/>
    </w:p>
    <w:p>
      <w:pPr>
        <w:pBdr/>
        <w:spacing/>
        <w:ind/>
        <w:rPr/>
      </w:pPr>
      <w:r>
        <w:t xml:space="preserve">Форма 1. Основные характеристики модели</w:t>
      </w:r>
      <w:r/>
    </w:p>
    <w:tbl>
      <w:tblPr>
        <w:tblW w:w="496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266"/>
        <w:gridCol w:w="2413"/>
        <w:gridCol w:w="4676"/>
        <w:gridCol w:w="4109"/>
      </w:tblGrid>
      <w:tr>
        <w:trPr>
          <w:trHeight w:val="1260"/>
        </w:trPr>
        <w:tc>
          <w:tcPr>
            <w:shd w:val="clear" w:color="auto" w:fill="auto"/>
            <w:tcBorders/>
            <w:tcW w:w="6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</w:t>
            </w:r>
            <w:r>
              <w:rPr>
                <w:vertAlign w:val="superscript"/>
              </w:rPr>
              <w:footnoteReference w:id="2"/>
            </w:r>
            <w:r/>
          </w:p>
        </w:tc>
        <w:tc>
          <w:tcPr>
            <w:shd w:val="clear" w:color="auto" w:fill="auto"/>
            <w:tcBorders/>
            <w:tcW w:w="72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Автор-разработчик модели</w:t>
            </w:r>
            <w:r/>
          </w:p>
        </w:tc>
        <w:tc>
          <w:tcPr>
            <w:shd w:val="clear" w:color="auto" w:fill="auto"/>
            <w:tcBorders/>
            <w:tcW w:w="77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Правообладатель модели</w:t>
            </w:r>
            <w:r/>
          </w:p>
        </w:tc>
        <w:tc>
          <w:tcPr>
            <w:shd w:val="clear" w:color="auto" w:fill="auto"/>
            <w:tcBorders/>
            <w:tcW w:w="15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eastAsia="Times New Roman"/>
                <w:color w:val="000000"/>
                <w:lang w:eastAsia="ru-RU"/>
              </w:rPr>
              <w:t xml:space="preserve">Методика расчета/Нормативный правовой акт/Алгоритм</w:t>
            </w:r>
            <w:r/>
          </w:p>
        </w:tc>
        <w:tc>
          <w:tcPr>
            <w:shd w:val="clear" w:color="auto" w:fill="auto"/>
            <w:tcBorders/>
            <w:tcW w:w="13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Примечание</w:t>
            </w:r>
            <w:r>
              <w:rPr>
                <w:vertAlign w:val="superscript"/>
              </w:rPr>
              <w:footnoteReference w:id="3"/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/>
            <w:tcW w:w="72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/>
            <w:tcW w:w="77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/>
            <w:tcW w:w="15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/>
            <w:tcW w:w="13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</w:tr>
      <w:tr>
        <w:trPr>
          <w:trHeight w:val="1254"/>
        </w:trPr>
        <w:tc>
          <w:tcPr>
            <w:shd w:val="clear" w:color="auto" w:fill="auto"/>
            <w:tcBorders/>
            <w:tcW w:w="681" w:type="pc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val="en-US"/>
              </w:rPr>
              <w:t xml:space="preserve">16.00.723.00</w:t>
            </w:r>
            <w:r>
              <w:t xml:space="preserve">42</w:t>
            </w:r>
            <w:r/>
          </w:p>
        </w:tc>
        <w:tc>
          <w:tcPr>
            <w:shd w:val="clear" w:color="auto" w:fill="auto"/>
            <w:tcBorders/>
            <w:tcW w:w="727" w:type="pc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ГБУ «ЦЭСИ РТ»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74" w:type="pc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ГБУ «ЦЭСИ РТ»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00" w:type="pct"/>
            <w:textDirection w:val="lrTb"/>
            <w:noWrap/>
          </w:tcPr>
          <w:p>
            <w:pPr>
              <w:pBdr/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Структуризация данных осуществляется в LibreOffice и сводится к созданию шаблона автоматического расчета финансовых коэффициентов и коэффициента прогнозирования вероятности банкротства.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18" w:type="pc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Форма 2. Параметры модели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842"/>
        <w:gridCol w:w="1842"/>
        <w:gridCol w:w="4818"/>
        <w:gridCol w:w="1277"/>
        <w:gridCol w:w="2373"/>
      </w:tblGrid>
      <w:tr>
        <w:trPr>
          <w:trHeight w:val="315"/>
        </w:trPr>
        <w:tc>
          <w:tcPr>
            <w:gridSpan w:val="3"/>
            <w:shd w:val="clear" w:color="auto" w:fill="auto"/>
            <w:tcBorders/>
            <w:tcW w:w="230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Исходные данные</w:t>
            </w:r>
            <w:r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4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/>
            <w:tcW w:w="269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Результат</w:t>
            </w:r>
            <w:r>
              <w:rPr>
                <w:rStyle w:val="939"/>
                <w:rFonts w:eastAsia="Times New Roman"/>
                <w:color w:val="000000"/>
                <w:lang w:eastAsia="ru-RU"/>
              </w:rPr>
              <w:footnoteReference w:id="5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auto" w:fill="auto"/>
            <w:tcBorders/>
            <w:tcW w:w="112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параметры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изм.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информ. </w:t>
            </w:r>
            <w:r>
              <w:rPr>
                <w:rFonts w:eastAsia="Times New Roman"/>
                <w:color w:val="000000"/>
                <w:lang w:eastAsia="ru-RU"/>
              </w:rPr>
              <w:t xml:space="preserve">ресурса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показатели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40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изм.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75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информ. </w:t>
            </w:r>
            <w:r>
              <w:rPr>
                <w:rFonts w:eastAsia="Times New Roman"/>
                <w:color w:val="000000"/>
                <w:lang w:eastAsia="ru-RU"/>
              </w:rPr>
              <w:t xml:space="preserve">ресурса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112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35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40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75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1128" w:type="pct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Собственный капитал организации, включающий имеющи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ся резервы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/>
            <w:bookmarkStart w:id="0" w:name="_Hlk145338241"/>
            <w:r>
              <w:rPr>
                <w:color w:val="000000"/>
                <w:sz w:val="24"/>
                <w:szCs w:val="24"/>
              </w:rPr>
              <w:t xml:space="preserve">тыс. </w:t>
            </w:r>
            <w:r>
              <w:rPr>
                <w:color w:val="000000"/>
                <w:sz w:val="24"/>
                <w:szCs w:val="24"/>
              </w:rPr>
              <w:t xml:space="preserve">руб</w:t>
            </w:r>
            <w:r>
              <w:rPr>
                <w:color w:val="000000"/>
                <w:sz w:val="24"/>
                <w:szCs w:val="24"/>
              </w:rPr>
              <w:t xml:space="preserve">лей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bookmarkEnd w:id="0"/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535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оэффициент финансовой устойчивости</w:t>
            </w:r>
            <w:r>
              <w:rPr>
                <w:rFonts w:eastAsia="Times New Roman"/>
                <w:iCs/>
                <w:color w:val="000000"/>
                <w:lang w:eastAsia="ru-RU"/>
              </w:rPr>
            </w:r>
            <w:r>
              <w:rPr>
                <w:rFonts w:eastAsia="Times New Roman"/>
                <w:i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407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5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16.00.723.0063.84.11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709"/>
        </w:trPr>
        <w:tc>
          <w:tcPr>
            <w:shd w:val="clear" w:color="auto" w:fill="auto"/>
            <w:tcBorders/>
            <w:tcW w:w="1128" w:type="pc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Долгосрочные обязательства </w:t>
            </w:r>
            <w:r>
              <w:rPr>
                <w:color w:val="000000"/>
                <w:sz w:val="24"/>
                <w:szCs w:val="24"/>
              </w:rPr>
              <w:t xml:space="preserve">организации (кредиты и займы</w:t>
            </w:r>
            <w:r>
              <w:rPr>
                <w:iCs/>
                <w:sz w:val="28"/>
                <w:szCs w:val="28"/>
              </w:rPr>
              <w:t xml:space="preserve">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тыс. </w:t>
            </w:r>
            <w:r>
              <w:rPr>
                <w:color w:val="000000"/>
                <w:sz w:val="24"/>
                <w:szCs w:val="24"/>
              </w:rPr>
              <w:t xml:space="preserve">руб</w:t>
            </w:r>
            <w:r>
              <w:rPr>
                <w:color w:val="000000"/>
                <w:sz w:val="24"/>
                <w:szCs w:val="24"/>
              </w:rPr>
              <w:t xml:space="preserve">лей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535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iCs/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оэффициент финансовой независимости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iCs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/>
            <w:tcW w:w="407" w:type="pc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5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16.00.723.0064.84.11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1128" w:type="pc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Валюта баланса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87" w:type="pc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тыс. </w:t>
            </w:r>
            <w:r>
              <w:rPr>
                <w:color w:val="000000"/>
                <w:sz w:val="24"/>
                <w:szCs w:val="24"/>
              </w:rPr>
              <w:t xml:space="preserve">руб</w:t>
            </w:r>
            <w:r>
              <w:rPr>
                <w:color w:val="000000"/>
                <w:sz w:val="24"/>
                <w:szCs w:val="24"/>
              </w:rPr>
              <w:t xml:space="preserve">лей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8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535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Коэффициент прогноза банкротства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Borders/>
            <w:tcW w:w="407" w:type="pc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5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16.00.723.0065.84.11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842"/>
        <w:gridCol w:w="1844"/>
        <w:gridCol w:w="4820"/>
        <w:gridCol w:w="1274"/>
        <w:gridCol w:w="2381"/>
      </w:tblGrid>
      <w:tr>
        <w:trPr>
          <w:trHeight w:val="315"/>
        </w:trPr>
        <w:tc>
          <w:tcPr>
            <w:shd w:val="clear" w:color="ffffff" w:fill="ffffff"/>
            <w:tcBorders/>
            <w:tcW w:w="3543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Оборотные активы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842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тыс. </w:t>
            </w:r>
            <w:r>
              <w:rPr>
                <w:color w:val="000000"/>
                <w:sz w:val="24"/>
                <w:szCs w:val="24"/>
              </w:rPr>
              <w:t xml:space="preserve">руб</w:t>
            </w:r>
            <w:r>
              <w:rPr>
                <w:color w:val="000000"/>
                <w:sz w:val="24"/>
                <w:szCs w:val="24"/>
              </w:rPr>
              <w:t xml:space="preserve">лей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84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16.00.718.0006.84.11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/>
            <w:tcW w:w="4820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27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38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/>
            <w:tcW w:w="3543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Отложенные налоговые активы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842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тыс. </w:t>
            </w:r>
            <w:r>
              <w:rPr>
                <w:color w:val="000000"/>
                <w:sz w:val="24"/>
                <w:szCs w:val="24"/>
              </w:rPr>
              <w:t xml:space="preserve">руб</w:t>
            </w:r>
            <w:r>
              <w:rPr>
                <w:color w:val="000000"/>
                <w:sz w:val="24"/>
                <w:szCs w:val="24"/>
              </w:rPr>
              <w:t xml:space="preserve">лей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844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/>
            <w:tcW w:w="4820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274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381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/>
            <w:tcW w:w="3543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Краткосрочные обязательства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842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тыс. </w:t>
            </w:r>
            <w:r>
              <w:rPr>
                <w:color w:val="000000"/>
                <w:sz w:val="24"/>
                <w:szCs w:val="24"/>
              </w:rPr>
              <w:t xml:space="preserve">руб</w:t>
            </w:r>
            <w:r>
              <w:rPr>
                <w:color w:val="000000"/>
                <w:sz w:val="24"/>
                <w:szCs w:val="24"/>
              </w:rPr>
              <w:t xml:space="preserve">лей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844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/>
            <w:tcW w:w="4820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274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381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1906" w:orient="landscape" w:w="16838"/>
      <w:pgMar w:top="1134" w:right="567" w:bottom="426" w:left="567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937"/>
        <w:pBdr/>
        <w:spacing/>
        <w:ind/>
        <w:rPr/>
      </w:pPr>
      <w:r>
        <w:rPr>
          <w:rStyle w:val="939"/>
        </w:rPr>
        <w:footnoteRef/>
      </w:r>
      <w:r>
        <w:t xml:space="preserve"> </w:t>
      </w:r>
      <w:r>
        <w:t xml:space="preserve">Заполняется администратором Ситуационного центра</w:t>
      </w:r>
      <w:r/>
    </w:p>
  </w:footnote>
  <w:footnote w:id="3">
    <w:p>
      <w:pPr>
        <w:pStyle w:val="937"/>
        <w:pBdr/>
        <w:spacing/>
        <w:ind/>
        <w:rPr/>
      </w:pPr>
      <w:r>
        <w:rPr>
          <w:rStyle w:val="939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  <w:r/>
    </w:p>
  </w:footnote>
  <w:footnote w:id="4">
    <w:p>
      <w:pPr>
        <w:pStyle w:val="937"/>
        <w:pBdr/>
        <w:spacing/>
        <w:ind/>
        <w:rPr/>
      </w:pPr>
      <w:r>
        <w:rPr>
          <w:rStyle w:val="939"/>
        </w:rPr>
        <w:footnoteRef/>
      </w:r>
      <w:r>
        <w:t xml:space="preserve"> Для параметров</w:t>
      </w:r>
      <w:r>
        <w:t xml:space="preserve"> и показателей</w:t>
      </w:r>
      <w:r>
        <w:t xml:space="preserve">, являющихся </w:t>
      </w:r>
      <w:r>
        <w:t xml:space="preserve">информационным ресурсом</w:t>
      </w:r>
      <w:r>
        <w:t xml:space="preserve">, указывается код </w:t>
      </w:r>
      <w:r>
        <w:t xml:space="preserve">информационного ресурса</w:t>
      </w:r>
      <w:r>
        <w:t xml:space="preserve"> </w:t>
      </w:r>
      <w:r/>
    </w:p>
  </w:footnote>
  <w:footnote w:id="5">
    <w:p>
      <w:pPr>
        <w:pStyle w:val="937"/>
        <w:pBdr/>
        <w:tabs>
          <w:tab w:val="left" w:leader="none" w:pos="5235"/>
        </w:tabs>
        <w:spacing/>
        <w:ind/>
        <w:rPr/>
      </w:pPr>
      <w:r>
        <w:rPr>
          <w:rStyle w:val="939"/>
        </w:rPr>
        <w:footnoteRef/>
      </w:r>
      <w:r>
        <w:t xml:space="preserve"> В том числе визуализ</w:t>
      </w:r>
      <w:r>
        <w:t xml:space="preserve">ация (графики, диаграммы и т.п.)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5">
    <w:name w:val="Table Grid"/>
    <w:basedOn w:val="9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Table Grid Light"/>
    <w:basedOn w:val="9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1"/>
    <w:basedOn w:val="9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2"/>
    <w:basedOn w:val="9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1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2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3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5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6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1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2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3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4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5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6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1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2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3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4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5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6"/>
    <w:basedOn w:val="9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1">
    <w:name w:val="Heading 1"/>
    <w:basedOn w:val="926"/>
    <w:next w:val="926"/>
    <w:link w:val="88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2">
    <w:name w:val="Heading 2"/>
    <w:basedOn w:val="926"/>
    <w:next w:val="926"/>
    <w:link w:val="88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3">
    <w:name w:val="Heading 3"/>
    <w:basedOn w:val="926"/>
    <w:next w:val="926"/>
    <w:link w:val="88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4">
    <w:name w:val="Heading 4"/>
    <w:basedOn w:val="926"/>
    <w:next w:val="926"/>
    <w:link w:val="88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5">
    <w:name w:val="Heading 5"/>
    <w:basedOn w:val="926"/>
    <w:next w:val="926"/>
    <w:link w:val="88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6">
    <w:name w:val="Heading 6"/>
    <w:basedOn w:val="926"/>
    <w:next w:val="926"/>
    <w:link w:val="88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7">
    <w:name w:val="Heading 7"/>
    <w:basedOn w:val="926"/>
    <w:next w:val="926"/>
    <w:link w:val="88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8">
    <w:name w:val="Heading 8"/>
    <w:basedOn w:val="926"/>
    <w:next w:val="926"/>
    <w:link w:val="88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9">
    <w:name w:val="Heading 9"/>
    <w:basedOn w:val="926"/>
    <w:next w:val="926"/>
    <w:link w:val="88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0">
    <w:name w:val="Heading 1 Char"/>
    <w:basedOn w:val="927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1">
    <w:name w:val="Heading 2 Char"/>
    <w:basedOn w:val="927"/>
    <w:link w:val="8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2">
    <w:name w:val="Heading 3 Char"/>
    <w:basedOn w:val="927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3">
    <w:name w:val="Heading 4 Char"/>
    <w:basedOn w:val="927"/>
    <w:link w:val="8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4">
    <w:name w:val="Heading 5 Char"/>
    <w:basedOn w:val="927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5">
    <w:name w:val="Heading 6 Char"/>
    <w:basedOn w:val="927"/>
    <w:link w:val="8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6">
    <w:name w:val="Heading 7 Char"/>
    <w:basedOn w:val="927"/>
    <w:link w:val="8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7">
    <w:name w:val="Heading 8 Char"/>
    <w:basedOn w:val="927"/>
    <w:link w:val="8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8">
    <w:name w:val="Heading 9 Char"/>
    <w:basedOn w:val="927"/>
    <w:link w:val="8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9">
    <w:name w:val="Title"/>
    <w:basedOn w:val="926"/>
    <w:next w:val="926"/>
    <w:link w:val="89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0">
    <w:name w:val="Title Char"/>
    <w:basedOn w:val="927"/>
    <w:link w:val="8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1">
    <w:name w:val="Subtitle"/>
    <w:basedOn w:val="926"/>
    <w:next w:val="926"/>
    <w:link w:val="89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2">
    <w:name w:val="Subtitle Char"/>
    <w:basedOn w:val="927"/>
    <w:link w:val="8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3">
    <w:name w:val="Quote"/>
    <w:basedOn w:val="926"/>
    <w:next w:val="926"/>
    <w:link w:val="89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4">
    <w:name w:val="Quote Char"/>
    <w:basedOn w:val="927"/>
    <w:link w:val="89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5">
    <w:name w:val="List Paragraph"/>
    <w:basedOn w:val="926"/>
    <w:uiPriority w:val="34"/>
    <w:qFormat/>
    <w:pPr>
      <w:pBdr/>
      <w:spacing/>
      <w:ind w:left="720"/>
      <w:contextualSpacing w:val="true"/>
    </w:pPr>
  </w:style>
  <w:style w:type="character" w:styleId="896">
    <w:name w:val="Intense Emphasis"/>
    <w:basedOn w:val="9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7">
    <w:name w:val="Intense Quote"/>
    <w:basedOn w:val="926"/>
    <w:next w:val="926"/>
    <w:link w:val="89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8">
    <w:name w:val="Intense Quote Char"/>
    <w:basedOn w:val="927"/>
    <w:link w:val="89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9">
    <w:name w:val="Intense Reference"/>
    <w:basedOn w:val="9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0">
    <w:name w:val="No Spacing"/>
    <w:basedOn w:val="926"/>
    <w:uiPriority w:val="1"/>
    <w:qFormat/>
    <w:pPr>
      <w:pBdr/>
      <w:spacing w:after="0" w:line="240" w:lineRule="auto"/>
      <w:ind/>
    </w:pPr>
  </w:style>
  <w:style w:type="character" w:styleId="901">
    <w:name w:val="Subtle Emphasis"/>
    <w:basedOn w:val="9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Emphasis"/>
    <w:basedOn w:val="927"/>
    <w:uiPriority w:val="20"/>
    <w:qFormat/>
    <w:pPr>
      <w:pBdr/>
      <w:spacing/>
      <w:ind/>
    </w:pPr>
    <w:rPr>
      <w:i/>
      <w:iCs/>
    </w:rPr>
  </w:style>
  <w:style w:type="character" w:styleId="903">
    <w:name w:val="Strong"/>
    <w:basedOn w:val="927"/>
    <w:uiPriority w:val="22"/>
    <w:qFormat/>
    <w:pPr>
      <w:pBdr/>
      <w:spacing/>
      <w:ind/>
    </w:pPr>
    <w:rPr>
      <w:b/>
      <w:bCs/>
    </w:rPr>
  </w:style>
  <w:style w:type="character" w:styleId="904">
    <w:name w:val="Subtle Reference"/>
    <w:basedOn w:val="9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5">
    <w:name w:val="Book Title"/>
    <w:basedOn w:val="92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6">
    <w:name w:val="Header"/>
    <w:basedOn w:val="926"/>
    <w:link w:val="90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7">
    <w:name w:val="Header Char"/>
    <w:basedOn w:val="927"/>
    <w:link w:val="906"/>
    <w:uiPriority w:val="99"/>
    <w:pPr>
      <w:pBdr/>
      <w:spacing/>
      <w:ind/>
    </w:pPr>
  </w:style>
  <w:style w:type="paragraph" w:styleId="908">
    <w:name w:val="Footer"/>
    <w:basedOn w:val="926"/>
    <w:link w:val="90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9">
    <w:name w:val="Footer Char"/>
    <w:basedOn w:val="927"/>
    <w:link w:val="908"/>
    <w:uiPriority w:val="99"/>
    <w:pPr>
      <w:pBdr/>
      <w:spacing/>
      <w:ind/>
    </w:pPr>
  </w:style>
  <w:style w:type="paragraph" w:styleId="910">
    <w:name w:val="Caption"/>
    <w:basedOn w:val="926"/>
    <w:next w:val="92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911">
    <w:name w:val="Footnote Text Char"/>
    <w:basedOn w:val="927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12">
    <w:name w:val="Endnote Text Char"/>
    <w:basedOn w:val="927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13">
    <w:name w:val="Hyperlink"/>
    <w:basedOn w:val="92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4">
    <w:name w:val="FollowedHyperlink"/>
    <w:basedOn w:val="9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5">
    <w:name w:val="toc 1"/>
    <w:basedOn w:val="926"/>
    <w:next w:val="926"/>
    <w:uiPriority w:val="39"/>
    <w:unhideWhenUsed/>
    <w:pPr>
      <w:pBdr/>
      <w:spacing w:after="100"/>
      <w:ind/>
    </w:pPr>
  </w:style>
  <w:style w:type="paragraph" w:styleId="916">
    <w:name w:val="toc 2"/>
    <w:basedOn w:val="926"/>
    <w:next w:val="926"/>
    <w:uiPriority w:val="39"/>
    <w:unhideWhenUsed/>
    <w:pPr>
      <w:pBdr/>
      <w:spacing w:after="100"/>
      <w:ind w:left="220"/>
    </w:pPr>
  </w:style>
  <w:style w:type="paragraph" w:styleId="917">
    <w:name w:val="toc 3"/>
    <w:basedOn w:val="926"/>
    <w:next w:val="926"/>
    <w:uiPriority w:val="39"/>
    <w:unhideWhenUsed/>
    <w:pPr>
      <w:pBdr/>
      <w:spacing w:after="100"/>
      <w:ind w:left="440"/>
    </w:pPr>
  </w:style>
  <w:style w:type="paragraph" w:styleId="918">
    <w:name w:val="toc 4"/>
    <w:basedOn w:val="926"/>
    <w:next w:val="926"/>
    <w:uiPriority w:val="39"/>
    <w:unhideWhenUsed/>
    <w:pPr>
      <w:pBdr/>
      <w:spacing w:after="100"/>
      <w:ind w:left="660"/>
    </w:pPr>
  </w:style>
  <w:style w:type="paragraph" w:styleId="919">
    <w:name w:val="toc 5"/>
    <w:basedOn w:val="926"/>
    <w:next w:val="926"/>
    <w:uiPriority w:val="39"/>
    <w:unhideWhenUsed/>
    <w:pPr>
      <w:pBdr/>
      <w:spacing w:after="100"/>
      <w:ind w:left="880"/>
    </w:pPr>
  </w:style>
  <w:style w:type="paragraph" w:styleId="920">
    <w:name w:val="toc 6"/>
    <w:basedOn w:val="926"/>
    <w:next w:val="926"/>
    <w:uiPriority w:val="39"/>
    <w:unhideWhenUsed/>
    <w:pPr>
      <w:pBdr/>
      <w:spacing w:after="100"/>
      <w:ind w:left="1100"/>
    </w:pPr>
  </w:style>
  <w:style w:type="paragraph" w:styleId="921">
    <w:name w:val="toc 7"/>
    <w:basedOn w:val="926"/>
    <w:next w:val="926"/>
    <w:uiPriority w:val="39"/>
    <w:unhideWhenUsed/>
    <w:pPr>
      <w:pBdr/>
      <w:spacing w:after="100"/>
      <w:ind w:left="1320"/>
    </w:pPr>
  </w:style>
  <w:style w:type="paragraph" w:styleId="922">
    <w:name w:val="toc 8"/>
    <w:basedOn w:val="926"/>
    <w:next w:val="926"/>
    <w:uiPriority w:val="39"/>
    <w:unhideWhenUsed/>
    <w:pPr>
      <w:pBdr/>
      <w:spacing w:after="100"/>
      <w:ind w:left="1540"/>
    </w:pPr>
  </w:style>
  <w:style w:type="paragraph" w:styleId="923">
    <w:name w:val="toc 9"/>
    <w:basedOn w:val="926"/>
    <w:next w:val="926"/>
    <w:uiPriority w:val="39"/>
    <w:unhideWhenUsed/>
    <w:pPr>
      <w:pBdr/>
      <w:spacing w:after="100"/>
      <w:ind w:left="1760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table of figures"/>
    <w:basedOn w:val="926"/>
    <w:next w:val="926"/>
    <w:uiPriority w:val="99"/>
    <w:unhideWhenUsed/>
    <w:pPr>
      <w:pBdr/>
      <w:spacing w:after="0" w:afterAutospacing="0"/>
      <w:ind/>
    </w:pPr>
  </w:style>
  <w:style w:type="paragraph" w:styleId="926" w:default="1">
    <w:name w:val="Normal"/>
    <w:qFormat/>
    <w:pPr>
      <w:pBdr/>
      <w:spacing/>
      <w:ind/>
    </w:pPr>
  </w:style>
  <w:style w:type="character" w:styleId="927" w:default="1">
    <w:name w:val="Default Paragraph Font"/>
    <w:uiPriority w:val="1"/>
    <w:semiHidden/>
    <w:unhideWhenUsed/>
    <w:pPr>
      <w:pBdr/>
      <w:spacing/>
      <w:ind/>
    </w:pPr>
  </w:style>
  <w:style w:type="table" w:styleId="9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9" w:default="1">
    <w:name w:val="No List"/>
    <w:uiPriority w:val="99"/>
    <w:semiHidden/>
    <w:unhideWhenUsed/>
    <w:pPr>
      <w:pBdr/>
      <w:spacing/>
      <w:ind/>
    </w:pPr>
  </w:style>
  <w:style w:type="character" w:styleId="930">
    <w:name w:val="annotation reference"/>
    <w:basedOn w:val="92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31">
    <w:name w:val="annotation text"/>
    <w:basedOn w:val="926"/>
    <w:link w:val="93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32" w:customStyle="1">
    <w:name w:val="Текст примечания Знак"/>
    <w:basedOn w:val="927"/>
    <w:link w:val="931"/>
    <w:uiPriority w:val="99"/>
    <w:semiHidden/>
    <w:pPr>
      <w:pBdr/>
      <w:spacing/>
      <w:ind/>
    </w:pPr>
    <w:rPr>
      <w:sz w:val="20"/>
      <w:szCs w:val="20"/>
    </w:rPr>
  </w:style>
  <w:style w:type="paragraph" w:styleId="933">
    <w:name w:val="annotation subject"/>
    <w:basedOn w:val="931"/>
    <w:next w:val="931"/>
    <w:link w:val="934"/>
    <w:uiPriority w:val="99"/>
    <w:semiHidden/>
    <w:unhideWhenUsed/>
    <w:pPr>
      <w:pBdr/>
      <w:spacing/>
      <w:ind/>
    </w:pPr>
    <w:rPr>
      <w:b/>
      <w:bCs/>
    </w:rPr>
  </w:style>
  <w:style w:type="character" w:styleId="934" w:customStyle="1">
    <w:name w:val="Тема примечания Знак"/>
    <w:basedOn w:val="932"/>
    <w:link w:val="933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5">
    <w:name w:val="Balloon Text"/>
    <w:basedOn w:val="926"/>
    <w:link w:val="93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6" w:customStyle="1">
    <w:name w:val="Текст выноски Знак"/>
    <w:basedOn w:val="927"/>
    <w:link w:val="93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7">
    <w:name w:val="footnote text"/>
    <w:basedOn w:val="926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 w:customStyle="1">
    <w:name w:val="Текст сноски Знак"/>
    <w:basedOn w:val="927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927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926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 w:customStyle="1">
    <w:name w:val="Текст концевой сноски Знак"/>
    <w:basedOn w:val="927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927"/>
    <w:uiPriority w:val="99"/>
    <w:semiHidden/>
    <w:unhideWhenUsed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3F65A-B909-4BEF-B16D-EFA137FE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revision>8</cp:revision>
  <dcterms:created xsi:type="dcterms:W3CDTF">2024-07-03T12:57:00Z</dcterms:created>
  <dcterms:modified xsi:type="dcterms:W3CDTF">2024-12-04T14:01:17Z</dcterms:modified>
</cp:coreProperties>
</file>