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0"/>
        <w:pBdr/>
        <w:spacing/>
        <w:ind/>
        <w:jc w:val="both"/>
        <w:outlineLvl w:val="0"/>
        <w:rPr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70"/>
              <w:pBdr/>
              <w:spacing/>
              <w:ind/>
              <w:outlineLvl w:val="0"/>
              <w:rPr/>
            </w:pPr>
            <w:r>
              <w:rPr>
                <w:sz w:val="24"/>
              </w:rPr>
              <w:t xml:space="preserve">28 ноября 2024 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70"/>
              <w:pBdr/>
              <w:spacing/>
              <w:ind/>
              <w:jc w:val="right"/>
              <w:outlineLvl w:val="0"/>
              <w:rPr/>
            </w:pPr>
            <w:r>
              <w:rPr>
                <w:sz w:val="24"/>
              </w:rPr>
              <w:t xml:space="preserve">N 1014</w:t>
            </w:r>
            <w:r/>
          </w:p>
        </w:tc>
      </w:tr>
    </w:tbl>
    <w:p>
      <w:pPr>
        <w:pStyle w:val="870"/>
        <w:pBdr>
          <w:bottom w:val="single" w:color="000000" w:sz="6" w:space="0"/>
        </w:pBdr>
        <w:spacing w:after="100" w:before="10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УКАЗ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ПРЕЗИДЕНТА РОССИЙСКОЙ ФЕДЕРАЦИИ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ОБ ОЦЕНКЕ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ЭФФЕКТИВНОСТИ ДЕЯТЕЛЬНОСТИ ВЫСШИХ ДОЛЖНОСТНЫХ ЛИЦ СУБЪЕКТОВ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РОССИЙСКОЙ ФЕДЕРАЦИИ И ДЕЯТЕЛЬНОСТИ ИСПОЛНИТЕЛЬНЫХ ОРГАНОВ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СУБЪЕКТОВ РОССИЙСКОЙ ФЕДЕРАЦИИ</w:t>
      </w:r>
      <w:r/>
    </w:p>
    <w:p>
      <w:pPr>
        <w:pStyle w:val="870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870"/>
        <w:pBdr/>
        <w:spacing/>
        <w:ind w:firstLine="540"/>
        <w:jc w:val="both"/>
        <w:rPr/>
      </w:pPr>
      <w:r>
        <w:rPr>
          <w:sz w:val="24"/>
        </w:rPr>
        <w:t xml:space="preserve">В целях обеспечения проведения оценки э</w:t>
      </w:r>
      <w:r>
        <w:rPr>
          <w:sz w:val="24"/>
        </w:rPr>
        <w:t xml:space="preserve">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включая оценку результатов достижения субъектами Российской Федерации национальных целей, предусмотренных </w:t>
      </w:r>
      <w:hyperlink r:id="rId12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 w:history="1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года", постановляю: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1. Утвердить прилагаемый </w:t>
      </w:r>
      <w:hyperlink w:tooltip="ПЕРЕЧЕНЬ" w:anchor="P53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(далее - перечень).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2. Администрации Президента Российской Федерации: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а) в 2-месячный срок разработать и представить на утверждение Президента Российской Федерации методику расчета значений показателей, предусмотренных </w:t>
      </w:r>
      <w:hyperlink w:tooltip="1. Доверие к власти (доверие к Президенту Российской Федерации, высшим должностным лицам субъектов Российской Федерации, уровень которого определяется в том числе посредством оценки общественного мнения в отношении достижения субъектами Российской Федерации национальных целей развития Российской Федерации)." w:anchor="P59" w:history="1">
        <w:r>
          <w:rPr>
            <w:color w:val="0000ff"/>
            <w:sz w:val="24"/>
          </w:rPr>
          <w:t xml:space="preserve">пунктами 1</w:t>
        </w:r>
      </w:hyperlink>
      <w:r>
        <w:rPr>
          <w:sz w:val="24"/>
        </w:rPr>
        <w:t xml:space="preserve">, </w:t>
      </w:r>
      <w:hyperlink w:tooltip="6. Удовлетворенность граждан условиями для занятий физической культурой и спортом." w:anchor="P64" w:history="1">
        <w:r>
          <w:rPr>
            <w:color w:val="0000ff"/>
            <w:sz w:val="24"/>
          </w:rPr>
          <w:t xml:space="preserve">6</w:t>
        </w:r>
      </w:hyperlink>
      <w:r>
        <w:rPr>
          <w:sz w:val="24"/>
        </w:rPr>
        <w:t xml:space="preserve">, </w:t>
      </w:r>
      <w:hyperlink w:tooltip="7. Удовлетворенность участников специальной военной операции условиями для медицинской реабилитации, переобучения и трудоустройства." w:anchor="P65" w:history="1">
        <w:r>
          <w:rPr>
            <w:color w:val="0000ff"/>
            <w:sz w:val="24"/>
          </w:rPr>
          <w:t xml:space="preserve">7</w:t>
        </w:r>
      </w:hyperlink>
      <w:r>
        <w:rPr>
          <w:sz w:val="24"/>
        </w:rPr>
        <w:t xml:space="preserve">, </w:t>
      </w:r>
      <w:hyperlink w:tooltip="10. Доля людей, вовлеченных в добровольческую деятельность." w:anchor="P68" w:history="1">
        <w:r>
          <w:rPr>
            <w:color w:val="0000ff"/>
            <w:sz w:val="24"/>
          </w:rPr>
          <w:t xml:space="preserve">10</w:t>
        </w:r>
      </w:hyperlink>
      <w:r>
        <w:rPr>
          <w:sz w:val="24"/>
        </w:rPr>
        <w:t xml:space="preserve"> и </w:t>
      </w:r>
      <w:hyperlink w:tooltip="11. Условия для воспитания гармонично развитой, патриотичной и социально ответственной личности." w:anchor="P69" w:history="1">
        <w:r>
          <w:rPr>
            <w:color w:val="0000ff"/>
            <w:sz w:val="24"/>
          </w:rPr>
          <w:t xml:space="preserve">11</w:t>
        </w:r>
      </w:hyperlink>
      <w:r>
        <w:rPr>
          <w:sz w:val="24"/>
        </w:rPr>
        <w:t xml:space="preserve"> перечня (далее - основные социологические показатели);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б) совместно с Правительством Российской Федерации и</w:t>
      </w:r>
      <w:r>
        <w:rPr>
          <w:sz w:val="24"/>
        </w:rPr>
        <w:t xml:space="preserve"> комиссией Государственного Совета Российской Федерации по координации и оценке эффективности деятельности исполнительных органов субъектов Российской Федерации при необходимости в 2-месячный срок определить дополнительные показатели из числа включенных в </w:t>
      </w:r>
      <w:hyperlink w:tooltip="ПЕРЕЧЕНЬ" w:anchor="P53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, достижение которых целесообразно оценивать с учетом анализа общественного мнения (далее - дополнительные социологические показатели), и разработать методику расчета их значений;</w:t>
      </w:r>
      <w:r/>
    </w:p>
    <w:p>
      <w:pPr>
        <w:pStyle w:val="870"/>
        <w:pBdr/>
        <w:spacing w:before="240"/>
        <w:ind w:firstLine="540"/>
        <w:jc w:val="both"/>
        <w:rPr/>
      </w:pPr>
      <w:r/>
      <w:bookmarkStart w:id="18" w:name="P18"/>
      <w:r/>
      <w:bookmarkEnd w:id="18"/>
      <w:r>
        <w:rPr>
          <w:sz w:val="24"/>
        </w:rPr>
        <w:t xml:space="preserve">в) ежегодно, до 1 февраля, представлять Президенту Российской Федерации доклады о фактических значениях основных и дополнительных социологических показателей за отчетный период;</w:t>
      </w:r>
      <w:r/>
    </w:p>
    <w:p>
      <w:pPr>
        <w:pStyle w:val="870"/>
        <w:pBdr/>
        <w:spacing w:before="240"/>
        <w:ind w:firstLine="540"/>
        <w:jc w:val="both"/>
        <w:rPr/>
      </w:pPr>
      <w:r/>
      <w:bookmarkStart w:id="19" w:name="P19"/>
      <w:r/>
      <w:bookmarkEnd w:id="19"/>
      <w:r>
        <w:rPr>
          <w:sz w:val="24"/>
        </w:rPr>
        <w:t xml:space="preserve">г) ежегодно, до 1 апреля, представлять Президенту Российской Федерации док</w:t>
      </w:r>
      <w:r>
        <w:rPr>
          <w:sz w:val="24"/>
        </w:rPr>
        <w:t xml:space="preserve">лады о плановых значениях основных и дополнительных социологических показателей, установленных с учетом социально-экономических и иных особенностей субъектов Российской Федерации, в том числе с учетом достигнутого уровня показателей и динамики их значений;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д) направлять в Правительство Российской Федерации информацию, содержащуюся в докладах, указанных в </w:t>
      </w:r>
      <w:hyperlink w:tooltip="в) ежегодно, до 1 февраля, представлять Президенту Российской Федерации доклады о фактических значениях основных и дополнительных социологических показателей за отчетный период;" w:anchor="P18" w:history="1">
        <w:r>
          <w:rPr>
            <w:color w:val="0000ff"/>
            <w:sz w:val="24"/>
          </w:rPr>
          <w:t xml:space="preserve">подпунктах "в"</w:t>
        </w:r>
      </w:hyperlink>
      <w:r>
        <w:rPr>
          <w:sz w:val="24"/>
        </w:rPr>
        <w:t xml:space="preserve"> и </w:t>
      </w:r>
      <w:hyperlink w:tooltip="г) ежегодно, до 1 апреля, представлять Президенту Российской Федерации доклады о плановых значениях основных и дополнительных социологических показателей, установленных с учетом социально-экономических и иных особенностей субъектов Российской Федерации, в том числе с учетом достигнутого уровня показателей и динамики их значений;" w:anchor="P19" w:history="1">
        <w:r>
          <w:rPr>
            <w:color w:val="0000ff"/>
            <w:sz w:val="24"/>
          </w:rPr>
          <w:t xml:space="preserve">"г"</w:t>
        </w:r>
      </w:hyperlink>
      <w:r>
        <w:rPr>
          <w:sz w:val="24"/>
        </w:rPr>
        <w:t xml:space="preserve"> настоящего пункта, после их представления Президенту Российской Федерации.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 Правительству Российской Федерации совместно с комиссиями Государственного Совета Российской Федерации по соответствующим направлениям в 2-месячный срок обеспечить утверждение или корректировку </w:t>
      </w:r>
      <w:hyperlink r:id="rId13" w:tooltip="Постановление Правительства РФ от 28.01.2025 N 58 &quot;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{КонсультантПлюс}" w:history="1">
        <w:r>
          <w:rPr>
            <w:color w:val="0000ff"/>
            <w:sz w:val="24"/>
          </w:rPr>
          <w:t xml:space="preserve">методик</w:t>
        </w:r>
      </w:hyperlink>
      <w:r>
        <w:rPr>
          <w:sz w:val="24"/>
        </w:rPr>
        <w:t xml:space="preserve"> расчета значений показателей, включенных в </w:t>
      </w:r>
      <w:hyperlink w:tooltip="ПЕРЕЧЕНЬ" w:anchor="P53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(за исключением основных и дополнительных социологических показателей):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а) плановых значений (уровней) показателей на период до 2030 года включительно, установленных с учетом социально-экономических и иных особенностей субъектов Российской Федерации, в том числе с учетом достигнутого уровня показателей и динамики их значений;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б) фактически достигнутых значений (уровней) показателей за отчетный период (прошедший год).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4. Правительству Российской Федерации совместно с Администрацией Президента Российской Федерации до 1 мая 2025 г. представить Президенту Российской Федерации предложения: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а) по рассмотрению с участием комиссий Государственного Совета Российской Федерации вопросов, связанных с обоснованием и при необходимости защитой планируемых на отчетный период (текущий год) и плановый период значений (уровней) показателей, включенных в </w:t>
      </w:r>
      <w:hyperlink w:tooltip="ПЕРЕЧЕНЬ" w:anchor="P53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, и достигнутых субъектами Российской Федерации за отчетный период (прошедший год) фактических значений (уровней) таких показателей;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б) по разработке правил распределения в 2025 году между субъектами Российской Федерации грантов в форме межбюджетных трансфертов на основе достигнутых в 2024 году результатов.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5. Правительству Российской Федерации подготавливать при участии комиссий Государственного Совета Российской Федерации по соответствующим направлениям и представлять Президенту Российской Федерации доклады о значениях (уровнях) показателей, включенных в </w:t>
      </w:r>
      <w:hyperlink w:tooltip="ПЕРЕЧЕНЬ" w:anchor="P53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(за исключением основных и дополнительных социологических показателей):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а) ежегодно, до 1 мая, - доклад о планируемых значениях (уровнях) показателей на отчетный период (текущий год) и плановый период;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б) ежегодно, до 1 июня, - доклад о достигнутых субъектами Российской Федерации за отчетный период (прошедший год) фактических значениях (уровнях) показателей;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в) ежегодно, до 1 июля, - предложения по распределению между субъектами Российской Федерации грантов на основе достигнутых за отчетный период (прошедший год) фактических значений (уровней) показателей.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6. Правительству Российской Федерации в 3-месячный срок привести свои акты в соответствие с настоящим Указом.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7. Признать утратившими силу:</w:t>
      </w:r>
      <w:r/>
    </w:p>
    <w:p>
      <w:pPr>
        <w:pStyle w:val="870"/>
        <w:pBdr/>
        <w:spacing w:before="240"/>
        <w:ind w:firstLine="540"/>
        <w:jc w:val="both"/>
        <w:rPr/>
      </w:pPr>
      <w:r/>
      <w:hyperlink r:id="rId14" w:tooltip="Указ Президента РФ от 04.02.2021 N 68 (ред. от 09.09.2022) &quot;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------------ Утратил силу или отменен {КонсультантПлюс}" w:history="1">
        <w:r>
          <w:rPr>
            <w:color w:val="0000ff"/>
            <w:sz w:val="24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4 февраля 2021 г. N 68 "Об оценке эффективности деятельности высших должно</w:t>
      </w:r>
      <w:r>
        <w:rPr>
          <w:sz w:val="24"/>
        </w:rPr>
        <w:t xml:space="preserve">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Федерации" (Собрание законодательства Российской Федерации, 2021, N 6, ст. 966);</w:t>
      </w:r>
      <w:r/>
    </w:p>
    <w:p>
      <w:pPr>
        <w:pStyle w:val="870"/>
        <w:pBdr/>
        <w:spacing w:before="240"/>
        <w:ind w:firstLine="540"/>
        <w:jc w:val="both"/>
        <w:rPr/>
      </w:pPr>
      <w:r/>
      <w:hyperlink r:id="rId15" w:tooltip="Указ Президента РФ от 09.09.2022 N 620 &quot;О внесении изменений в Указ Президента Российской Федерации от 4 февраля 2021 г. N 68 &quot;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&quot; и в перечень, утвержденный этим Указом&quot; ------------ Утратил силу или отменен {КонсультантПлюс}" w:history="1">
        <w:r>
          <w:rPr>
            <w:color w:val="0000ff"/>
            <w:sz w:val="24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9 сентября 2022 г. N 620 "О внесении изменений в Указ Президента Российской Федерации от 4 февраля 2021 г. N 68 "Об оценке эффективности деятельности высших должностных лиц (руководителей высших исполнител</w:t>
      </w:r>
      <w:r>
        <w:rPr>
          <w:sz w:val="24"/>
        </w:rPr>
        <w:t xml:space="preserve">ьных органов государственной власти) субъектов Российской Федерации и деятельности органов исполнительной власти субъектов Российской Федерации" и в перечень, утвержденный этим Указом" (Собрание законодательства Российской Федерации, 2022, N 37, ст. 6317).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8. Настоящий Указ вступает в силу со дня его подписания.</w:t>
      </w:r>
      <w:r/>
    </w:p>
    <w:p>
      <w:pPr>
        <w:pStyle w:val="870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Президент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В.ПУТИН</w:t>
      </w:r>
      <w:r/>
    </w:p>
    <w:p>
      <w:pPr>
        <w:pStyle w:val="870"/>
        <w:pBdr/>
        <w:spacing/>
        <w:ind/>
        <w:rPr/>
      </w:pPr>
      <w:r>
        <w:rPr>
          <w:sz w:val="24"/>
        </w:rPr>
        <w:t xml:space="preserve">Москва, Кремль</w:t>
      </w:r>
      <w:r/>
    </w:p>
    <w:p>
      <w:pPr>
        <w:pStyle w:val="870"/>
        <w:pBdr/>
        <w:spacing w:before="240"/>
        <w:ind/>
        <w:rPr/>
      </w:pPr>
      <w:r>
        <w:rPr>
          <w:sz w:val="24"/>
        </w:rPr>
        <w:t xml:space="preserve">28 ноября 2024 года</w:t>
      </w:r>
      <w:r/>
    </w:p>
    <w:p>
      <w:pPr>
        <w:pStyle w:val="870"/>
        <w:pBdr/>
        <w:spacing w:before="240"/>
        <w:ind/>
        <w:rPr/>
      </w:pPr>
      <w:r>
        <w:rPr>
          <w:sz w:val="24"/>
        </w:rPr>
        <w:t xml:space="preserve">N 1014</w:t>
      </w:r>
      <w:r/>
    </w:p>
    <w:p>
      <w:pPr>
        <w:pStyle w:val="870"/>
        <w:pBdr/>
        <w:spacing/>
        <w:ind/>
        <w:rPr/>
      </w:pPr>
      <w:r>
        <w:rPr>
          <w:sz w:val="24"/>
        </w:rPr>
      </w:r>
      <w:r/>
    </w:p>
    <w:p>
      <w:pPr>
        <w:pStyle w:val="870"/>
        <w:pBdr/>
        <w:spacing/>
        <w:ind/>
        <w:rPr/>
      </w:pPr>
      <w:r>
        <w:rPr>
          <w:sz w:val="24"/>
        </w:rPr>
      </w:r>
      <w:r/>
    </w:p>
    <w:p>
      <w:pPr>
        <w:pStyle w:val="870"/>
        <w:pBdr/>
        <w:spacing/>
        <w:ind/>
        <w:rPr/>
      </w:pPr>
      <w:r>
        <w:rPr>
          <w:sz w:val="24"/>
        </w:rPr>
      </w:r>
      <w:r/>
    </w:p>
    <w:p>
      <w:pPr>
        <w:pStyle w:val="870"/>
        <w:pBdr/>
        <w:spacing/>
        <w:ind/>
        <w:rPr/>
      </w:pPr>
      <w:r>
        <w:rPr>
          <w:sz w:val="24"/>
        </w:rPr>
      </w:r>
      <w:r/>
    </w:p>
    <w:p>
      <w:pPr>
        <w:pStyle w:val="870"/>
        <w:pBdr/>
        <w:spacing/>
        <w:ind/>
        <w:rPr/>
      </w:pPr>
      <w:r>
        <w:rPr>
          <w:sz w:val="24"/>
        </w:rPr>
      </w:r>
      <w:r/>
    </w:p>
    <w:p>
      <w:pPr>
        <w:pStyle w:val="870"/>
        <w:pBdr/>
        <w:spacing/>
        <w:ind/>
        <w:jc w:val="right"/>
        <w:outlineLvl w:val="0"/>
        <w:rPr/>
      </w:pPr>
      <w:r>
        <w:rPr>
          <w:sz w:val="24"/>
        </w:rPr>
        <w:t xml:space="preserve">Утвержден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Указом Президента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  <w:t xml:space="preserve">от 28 ноября 2024 г. N 1014</w:t>
      </w:r>
      <w:r/>
    </w:p>
    <w:p>
      <w:pPr>
        <w:pStyle w:val="870"/>
        <w:pBdr/>
        <w:spacing/>
        <w:ind/>
        <w:jc w:val="right"/>
        <w:rPr/>
      </w:pPr>
      <w:r>
        <w:rPr>
          <w:sz w:val="24"/>
        </w:rPr>
      </w:r>
      <w:r/>
    </w:p>
    <w:p>
      <w:pPr>
        <w:pStyle w:val="872"/>
        <w:pBdr/>
        <w:spacing/>
        <w:ind/>
        <w:jc w:val="center"/>
        <w:rPr/>
      </w:pPr>
      <w:r/>
      <w:bookmarkStart w:id="53" w:name="P53"/>
      <w:r/>
      <w:bookmarkEnd w:id="53"/>
      <w:r>
        <w:rPr>
          <w:sz w:val="24"/>
        </w:rPr>
        <w:t xml:space="preserve">ПЕРЕЧЕНЬ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ПОКАЗАТЕЛЕЙ ДЛЯ ОЦЕНКИ ЭФФЕКТИВНОСТИ ДЕЯТЕЛЬНОСТИ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ВЫСШИХ ДОЛЖНОСТНЫХ ЛИЦ СУБЪЕКТОВ РОССИЙСКОЙ ФЕДЕРАЦИИ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И ДЕЯТЕЛЬНОСТИ ИСПОЛНИТЕЛЬНЫХ ОРГАНОВ СУБЪЕКТОВ</w:t>
      </w:r>
      <w:r/>
    </w:p>
    <w:p>
      <w:pPr>
        <w:pStyle w:val="872"/>
        <w:pBdr/>
        <w:spacing/>
        <w:ind/>
        <w:jc w:val="center"/>
        <w:rPr/>
      </w:pPr>
      <w:r>
        <w:rPr>
          <w:sz w:val="24"/>
        </w:rPr>
        <w:t xml:space="preserve">РОССИЙСКОЙ ФЕДЕРАЦИИ</w:t>
      </w:r>
      <w:r/>
    </w:p>
    <w:p>
      <w:pPr>
        <w:pStyle w:val="870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870"/>
        <w:pBdr/>
        <w:spacing/>
        <w:ind w:firstLine="540"/>
        <w:jc w:val="both"/>
        <w:rPr/>
      </w:pPr>
      <w:r/>
      <w:bookmarkStart w:id="59" w:name="P59"/>
      <w:r/>
      <w:bookmarkEnd w:id="59"/>
      <w:r>
        <w:rPr>
          <w:sz w:val="24"/>
        </w:rPr>
        <w:t xml:space="preserve">1. Доверие к власти (доверие к Президенту Российской</w:t>
      </w:r>
      <w:r>
        <w:rPr>
          <w:sz w:val="24"/>
        </w:rPr>
        <w:t xml:space="preserve"> Федерации, высшим должностным лицам субъектов Российской Федерации, уровень которого определяется в том числе посредством оценки общественного мнения в отношении достижения субъектами Российской Федерации национальных целей развития Российской Федерации).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2. Численность населения субъекта Российской Федерации.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3. Суммарный коэффициент рождаемости.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4. Ожидаемая продолжительность жизни при рождении.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5. Уровень бедности.</w:t>
      </w:r>
      <w:r/>
    </w:p>
    <w:p>
      <w:pPr>
        <w:pStyle w:val="870"/>
        <w:pBdr/>
        <w:spacing w:before="240"/>
        <w:ind w:firstLine="540"/>
        <w:jc w:val="both"/>
        <w:rPr/>
      </w:pPr>
      <w:r/>
      <w:bookmarkStart w:id="64" w:name="P64"/>
      <w:r/>
      <w:bookmarkEnd w:id="64"/>
      <w:r>
        <w:rPr>
          <w:sz w:val="24"/>
        </w:rPr>
        <w:t xml:space="preserve">6. Удовлетворенность граждан условиями для занятий физической культурой и спортом.</w:t>
      </w:r>
      <w:r/>
    </w:p>
    <w:p>
      <w:pPr>
        <w:pStyle w:val="870"/>
        <w:pBdr/>
        <w:spacing w:before="240"/>
        <w:ind w:firstLine="540"/>
        <w:jc w:val="both"/>
        <w:rPr/>
      </w:pPr>
      <w:r/>
      <w:bookmarkStart w:id="65" w:name="P65"/>
      <w:r/>
      <w:bookmarkEnd w:id="65"/>
      <w:r>
        <w:rPr>
          <w:sz w:val="24"/>
        </w:rPr>
        <w:t xml:space="preserve">7. Удовлетворенность участников специальной военной операции условиями для медицинской реабилитации, переобучения и трудоустройства.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8. Уровень образования.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9. Эффективность системы выявления, поддержки и развития способностей и талантов у детей и молодежи.</w:t>
      </w:r>
      <w:r/>
    </w:p>
    <w:p>
      <w:pPr>
        <w:pStyle w:val="870"/>
        <w:pBdr/>
        <w:spacing w:before="240"/>
        <w:ind w:firstLine="540"/>
        <w:jc w:val="both"/>
        <w:rPr/>
      </w:pPr>
      <w:r/>
      <w:bookmarkStart w:id="68" w:name="P68"/>
      <w:r/>
      <w:bookmarkEnd w:id="68"/>
      <w:r>
        <w:rPr>
          <w:sz w:val="24"/>
        </w:rPr>
        <w:t xml:space="preserve">10. Доля людей, вовлеченных в добровольческую деятельность.</w:t>
      </w:r>
      <w:r/>
    </w:p>
    <w:p>
      <w:pPr>
        <w:pStyle w:val="870"/>
        <w:pBdr/>
        <w:spacing w:before="240"/>
        <w:ind w:firstLine="540"/>
        <w:jc w:val="both"/>
        <w:rPr/>
      </w:pPr>
      <w:r/>
      <w:bookmarkStart w:id="69" w:name="P69"/>
      <w:r/>
      <w:bookmarkEnd w:id="69"/>
      <w:r>
        <w:rPr>
          <w:sz w:val="24"/>
        </w:rPr>
        <w:t xml:space="preserve">11. Условия для воспитания гармонично развитой, патриотичной и социально ответственной личности.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12. Количество семей, улучшивших жилищные условия.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13. Объем ввода в эксплуатацию жилой и нежилой недвижимости.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14. Качество среды для жизни в опорных населенных пунктах.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15. Доля автомобильных дорог крупнейших городских агломераций и автомобильных дорог регионального значения (включая дороги, отнесенные к опорной сети автомобильных дорог), соответствующих нормативам.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16. Доля парка общественного транспорта, имеющего срок эксплуатации не старше нормативного, в агломерациях и городах.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17. Качество окружающей среды.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18. Темп роста (индекс роста) реального среднедушевого денежного дохода населения.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19.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20. Темп роста дохода в расчете на одного работника субъекта малого и среднего предпринимательства.</w:t>
      </w:r>
      <w:r/>
    </w:p>
    <w:p>
      <w:pPr>
        <w:pStyle w:val="870"/>
        <w:pBdr/>
        <w:spacing w:before="240"/>
        <w:ind w:firstLine="540"/>
        <w:jc w:val="both"/>
        <w:rPr/>
      </w:pPr>
      <w:r>
        <w:rPr>
          <w:sz w:val="24"/>
        </w:rPr>
        <w:t xml:space="preserve">21. 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образования.</w:t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870"/>
        <w:pBdr>
          <w:bottom w:val="single" w:color="000000" w:sz="6" w:space="0"/>
        </w:pBdr>
        <w:spacing w:after="100" w:before="10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306" w:right="566" w:bottom="1440" w:left="1133" w:header="0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28.11.2024 N 1014</w:t>
            <w:br/>
            <w:t xml:space="preserve">"Об оценке эффективности деятельности высших должностных лиц субъектов Российско...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03.04.2025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870" w:customStyle="1">
    <w:name w:val="ConsPlusNormal"/>
    <w:pPr>
      <w:widowControl w:val="false"/>
      <w:pBdr/>
      <w:spacing/>
      <w:ind/>
    </w:pPr>
    <w:rPr>
      <w:rFonts w:ascii="Times New Roman" w:hAnsi="Times New Roman" w:cs="Times New Roman"/>
      <w:sz w:val="24"/>
    </w:rPr>
  </w:style>
  <w:style w:type="paragraph" w:styleId="871" w:customStyle="1">
    <w:name w:val="ConsPlusNonformat"/>
    <w:pPr>
      <w:widowControl w:val="false"/>
      <w:pBdr/>
      <w:spacing/>
      <w:ind/>
    </w:pPr>
    <w:rPr>
      <w:rFonts w:ascii="Courier New" w:hAnsi="Courier New" w:cs="Courier New"/>
      <w:sz w:val="20"/>
    </w:rPr>
  </w:style>
  <w:style w:type="paragraph" w:styleId="872" w:customStyle="1">
    <w:name w:val="ConsPlusTitle"/>
    <w:pPr>
      <w:widowControl w:val="false"/>
      <w:pBdr/>
      <w:spacing/>
      <w:ind/>
    </w:pPr>
    <w:rPr>
      <w:rFonts w:ascii="Arial" w:hAnsi="Arial" w:cs="Arial"/>
      <w:b/>
      <w:sz w:val="24"/>
    </w:rPr>
  </w:style>
  <w:style w:type="paragraph" w:styleId="873" w:customStyle="1">
    <w:name w:val="ConsPlusCell"/>
    <w:pPr>
      <w:widowControl w:val="false"/>
      <w:pBdr/>
      <w:spacing/>
      <w:ind/>
    </w:pPr>
    <w:rPr>
      <w:rFonts w:ascii="Courier New" w:hAnsi="Courier New" w:cs="Courier New"/>
      <w:sz w:val="20"/>
    </w:rPr>
  </w:style>
  <w:style w:type="paragraph" w:styleId="874" w:customStyle="1">
    <w:name w:val="ConsPlusDocList"/>
    <w:pPr>
      <w:widowControl w:val="false"/>
      <w:pBdr/>
      <w:spacing/>
      <w:ind/>
    </w:pPr>
    <w:rPr>
      <w:rFonts w:ascii="Tahoma" w:hAnsi="Tahoma" w:cs="Tahoma"/>
      <w:sz w:val="18"/>
    </w:rPr>
  </w:style>
  <w:style w:type="paragraph" w:styleId="875" w:customStyle="1">
    <w:name w:val="ConsPlusTitlePage"/>
    <w:pPr>
      <w:widowControl w:val="false"/>
      <w:pBdr/>
      <w:spacing/>
      <w:ind/>
    </w:pPr>
    <w:rPr>
      <w:rFonts w:ascii="Tahoma" w:hAnsi="Tahoma" w:cs="Tahoma"/>
      <w:sz w:val="20"/>
    </w:rPr>
  </w:style>
  <w:style w:type="paragraph" w:styleId="876" w:customStyle="1">
    <w:name w:val="ConsPlusJurTerm"/>
    <w:pPr>
      <w:widowControl w:val="false"/>
      <w:pBdr/>
      <w:spacing/>
      <w:ind/>
    </w:pPr>
    <w:rPr>
      <w:rFonts w:ascii="Tahoma" w:hAnsi="Tahoma" w:cs="Tahoma"/>
      <w:sz w:val="26"/>
    </w:rPr>
  </w:style>
  <w:style w:type="paragraph" w:styleId="877" w:customStyle="1">
    <w:name w:val="ConsPlusTextList"/>
    <w:pPr>
      <w:widowControl w:val="false"/>
      <w:pBdr/>
      <w:spacing/>
      <w:ind/>
    </w:pPr>
    <w:rPr>
      <w:rFonts w:ascii="Times New Roman" w:hAnsi="Times New Roman" w:cs="Times New Roman"/>
      <w:sz w:val="24"/>
    </w:rPr>
  </w:style>
  <w:style w:type="paragraph" w:styleId="878" w:customStyle="1">
    <w:name w:val="ConsPlusTextList"/>
    <w:pPr>
      <w:widowControl w:val="false"/>
      <w:pBdr/>
      <w:spacing/>
      <w:ind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login.consultant.ru/link/?req=doc&amp;base=LAW&amp;n=475991&amp;date=03.04.2025" TargetMode="External"/><Relationship Id="rId13" Type="http://schemas.openxmlformats.org/officeDocument/2006/relationships/hyperlink" Target="https://login.consultant.ru/link/?req=doc&amp;base=LAW&amp;n=498830&amp;date=03.04.2025&amp;dst=100005&amp;field=134" TargetMode="External"/><Relationship Id="rId14" Type="http://schemas.openxmlformats.org/officeDocument/2006/relationships/hyperlink" Target="https://login.consultant.ru/link/?req=doc&amp;base=LAW&amp;n=426376&amp;date=03.04.2025" TargetMode="External"/><Relationship Id="rId15" Type="http://schemas.openxmlformats.org/officeDocument/2006/relationships/hyperlink" Target="https://login.consultant.ru/link/?req=doc&amp;base=LAW&amp;n=426327&amp;date=03.04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ONLYOFFICE/8.3.2.19</Application>
  <HeadingPairs>
    <vt:vector size="0" baseType="variant"/>
  </HeadingPairs>
  <TitlesOfParts>
    <vt:vector size="0" baseType="lpstr"/>
  </TitlesOfPart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28.11.2024 N 1014
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dc:title>
  <cp:revision>1</cp:revision>
  <dcterms:created xsi:type="dcterms:W3CDTF">2025-04-03T09:27:51Z</dcterms:created>
  <dcterms:modified xsi:type="dcterms:W3CDTF">2025-04-03T09:30:20Z</dcterms:modified>
</cp:coreProperties>
</file>