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"Нормы расходов на обеспечение деятельности учреждений отрасли молодежной политики"</w:t>
              <w:br/>
              <w:t xml:space="preserve">(утв. Постановлением КМ РТ от 05.07.2000 N 470)</w:t>
              <w:br/>
              <w:t xml:space="preserve">(ред. от 26.11.2025)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hyperlink w:history="0" r:id="rId8" w:tooltip="Постановление КМ РТ от 05.07.2000 N 470 (ред. от 26.11.2025) &quot;О развитии социальных стандартов и натуральных норм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</w:p>
    <w:p>
      <w:pPr>
        <w:pStyle w:val="0"/>
        <w:jc w:val="right"/>
      </w:pPr>
      <w:r>
        <w:rPr>
          <w:sz w:val="24"/>
        </w:rPr>
        <w:t xml:space="preserve">Кабинета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от 5 июля 2000 г. N 470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РАСХОДОВ</w:t>
      </w:r>
    </w:p>
    <w:p>
      <w:pPr>
        <w:pStyle w:val="2"/>
        <w:jc w:val="center"/>
      </w:pPr>
      <w:r>
        <w:rPr>
          <w:sz w:val="24"/>
        </w:rPr>
        <w:t xml:space="preserve">НА ОБЕСПЕЧЕНИЕ ДЕЯТЕЛЬНОСТИ УЧРЕЖДЕНИЙ</w:t>
      </w:r>
    </w:p>
    <w:p>
      <w:pPr>
        <w:pStyle w:val="2"/>
        <w:jc w:val="center"/>
      </w:pPr>
      <w:r>
        <w:rPr>
          <w:sz w:val="24"/>
        </w:rPr>
        <w:t xml:space="preserve">ОТРАСЛИ МОЛОДЕЖНОЙ ПОЛИТИКИ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" w:tooltip="Постановление КМ РТ от 26.11.2025 N 1002 &quot;О внесении изменений в постановление Кабинета Министров Республики Татарстан от 05.07.2000 N 470 &quot;О развитии социальных стандартов и натуральных норм в Республике Татарстан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КМ РТ от 26.11.2025 N 1002)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Настоящие нормы применяются при формировании нормативных затрат на выполнение (оказание) государственных работ (услуг), </w:t>
      </w:r>
      <w:hyperlink w:history="0" r:id="rId10" w:tooltip="Постановление КМ РТ от 29.09.2015 N 726 (ред. от 30.12.2025) &quot;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утвержден постановлением Кабинета Министров Республики Татарстан от 29.09.2015 N 726 "Об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Татарстан", в разрезе типов и видов учреждений по отрасли молодежной политики.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Типы и виды учреждений отрасли молодежной политики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175"/>
        <w:gridCol w:w="5272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учреждения</w:t>
            </w:r>
          </w:p>
        </w:tc>
        <w:tc>
          <w:tcPr>
            <w:tcW w:w="52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учреждения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2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1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Неспециализированные учреждения молодежной политики</w:t>
            </w:r>
          </w:p>
        </w:tc>
        <w:tc>
          <w:tcPr>
            <w:tcW w:w="52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Молодежный центр;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молодежный (подростковый) клуб по месту жительства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1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Специализированные учреждения молодежной политики</w:t>
            </w:r>
          </w:p>
        </w:tc>
        <w:tc>
          <w:tcPr>
            <w:tcW w:w="52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Центр содействия молодежи;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Республиканский центр молодежных, инновационных и профилактических программ;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центр молодежных (студенческих) формирований по охране общественного порядка;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центр студенческих трудовых отрядов;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центр военно-патриотической работы и подготовки допризывной молодежи;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центр психолого-педагогической помощи детям и молодежи; центр экстренной психологической помощи по телефону для детей и молодежи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1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Оздоровительно-досуговые учреждения</w:t>
            </w:r>
          </w:p>
        </w:tc>
        <w:tc>
          <w:tcPr>
            <w:tcW w:w="52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Центр по организации оздоровления, отдыха и занятости детей и подростков;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оздоровительно-досуговое учреждение (лагерь)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Виды учреждений отрасли молодежной политики определяются в соответствии с </w:t>
      </w:r>
      <w:hyperlink w:history="0" r:id="rId11" w:tooltip="Распоряжение КМ РТ от 03.11.2012 N 1986-р (ред. от 18.06.2019) &lt;Об утверждении перечня видов учреждений, осуществляющих деятельность в сфере молодежной политики в Республике Татарстан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Кабинета Министров Республики Татарстан от 03.11.2012 N 1986-р.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II. Нормы расходов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 материалов и предметов для текущих</w:t>
      </w:r>
    </w:p>
    <w:p>
      <w:pPr>
        <w:pStyle w:val="2"/>
        <w:jc w:val="center"/>
      </w:pPr>
      <w:r>
        <w:rPr>
          <w:sz w:val="24"/>
        </w:rPr>
        <w:t xml:space="preserve">и хозяйственных целей на обеспечение деятельности учреждений</w:t>
      </w:r>
    </w:p>
    <w:p>
      <w:pPr>
        <w:pStyle w:val="2"/>
        <w:jc w:val="center"/>
      </w:pPr>
      <w:r>
        <w:rPr>
          <w:sz w:val="24"/>
        </w:rPr>
        <w:t xml:space="preserve">отрасли молодежной политики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8"/>
        <w:gridCol w:w="2633"/>
        <w:gridCol w:w="1696"/>
        <w:gridCol w:w="2098"/>
        <w:gridCol w:w="1928"/>
      </w:tblGrid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Неспециализированные учреждения молодежной политики и оздоровительно-досуговые учреждения (на одного воспитанника в день)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Специализированные учреждения молодежной политики (на одного работающего в день)</w:t>
            </w:r>
          </w:p>
        </w:tc>
      </w:tr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33" w:type="dxa"/>
          </w:tcPr>
          <w:p>
            <w:pPr>
              <w:pStyle w:val="0"/>
            </w:pPr>
            <w:r>
              <w:rPr>
                <w:sz w:val="24"/>
              </w:rPr>
              <w:t xml:space="preserve">Мыло хозяйственное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0,011</w:t>
            </w:r>
          </w:p>
        </w:tc>
      </w:tr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33" w:type="dxa"/>
          </w:tcPr>
          <w:p>
            <w:pPr>
              <w:pStyle w:val="0"/>
            </w:pPr>
            <w:r>
              <w:rPr>
                <w:sz w:val="24"/>
              </w:rPr>
              <w:t xml:space="preserve">Хлорамин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</w:tr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33" w:type="dxa"/>
          </w:tcPr>
          <w:p>
            <w:pPr>
              <w:pStyle w:val="0"/>
            </w:pPr>
            <w:r>
              <w:rPr>
                <w:sz w:val="24"/>
              </w:rPr>
              <w:t xml:space="preserve">Хлорная известь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</w:tr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33" w:type="dxa"/>
          </w:tcPr>
          <w:p>
            <w:pPr>
              <w:pStyle w:val="0"/>
            </w:pPr>
            <w:r>
              <w:rPr>
                <w:sz w:val="24"/>
              </w:rPr>
              <w:t xml:space="preserve">Паста хозяйственная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0,006</w:t>
            </w:r>
          </w:p>
        </w:tc>
      </w:tr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33" w:type="dxa"/>
          </w:tcPr>
          <w:p>
            <w:pPr>
              <w:pStyle w:val="0"/>
            </w:pPr>
            <w:r>
              <w:rPr>
                <w:sz w:val="24"/>
              </w:rPr>
              <w:t xml:space="preserve">Туалетное мыло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кусков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0,0044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0,0088</w:t>
            </w:r>
          </w:p>
        </w:tc>
      </w:tr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33" w:type="dxa"/>
          </w:tcPr>
          <w:p>
            <w:pPr>
              <w:pStyle w:val="0"/>
            </w:pPr>
            <w:r>
              <w:rPr>
                <w:sz w:val="24"/>
              </w:rPr>
              <w:t xml:space="preserve">Туалетная бумага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рулонов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0,023</w:t>
            </w:r>
          </w:p>
        </w:tc>
      </w:tr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33" w:type="dxa"/>
          </w:tcPr>
          <w:p>
            <w:pPr>
              <w:pStyle w:val="0"/>
            </w:pPr>
            <w:r>
              <w:rPr>
                <w:sz w:val="24"/>
              </w:rPr>
              <w:t xml:space="preserve">Щетки половые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0,0004</w:t>
            </w:r>
          </w:p>
        </w:tc>
      </w:tr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33" w:type="dxa"/>
          </w:tcPr>
          <w:p>
            <w:pPr>
              <w:pStyle w:val="0"/>
            </w:pPr>
            <w:r>
              <w:rPr>
                <w:sz w:val="24"/>
              </w:rPr>
              <w:t xml:space="preserve">Веник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0,0004</w:t>
            </w:r>
          </w:p>
        </w:tc>
      </w:tr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33" w:type="dxa"/>
          </w:tcPr>
          <w:p>
            <w:pPr>
              <w:pStyle w:val="0"/>
            </w:pPr>
            <w:r>
              <w:rPr>
                <w:sz w:val="24"/>
              </w:rPr>
              <w:t xml:space="preserve">Кисть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0,0004</w:t>
            </w:r>
          </w:p>
        </w:tc>
      </w:tr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33" w:type="dxa"/>
          </w:tcPr>
          <w:p>
            <w:pPr>
              <w:pStyle w:val="0"/>
            </w:pPr>
            <w:r>
              <w:rPr>
                <w:sz w:val="24"/>
              </w:rPr>
              <w:t xml:space="preserve">Известь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0,006</w:t>
            </w:r>
          </w:p>
        </w:tc>
      </w:tr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33" w:type="dxa"/>
          </w:tcPr>
          <w:p>
            <w:pPr>
              <w:pStyle w:val="0"/>
            </w:pPr>
            <w:r>
              <w:rPr>
                <w:sz w:val="24"/>
              </w:rPr>
              <w:t xml:space="preserve">Мел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0,006</w:t>
            </w:r>
          </w:p>
        </w:tc>
      </w:tr>
      <w:tr>
        <w:tc>
          <w:tcPr>
            <w:tcW w:w="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33" w:type="dxa"/>
          </w:tcPr>
          <w:p>
            <w:pPr>
              <w:pStyle w:val="0"/>
            </w:pPr>
            <w:r>
              <w:rPr>
                <w:sz w:val="24"/>
              </w:rPr>
              <w:t xml:space="preserve">Краска</w:t>
            </w:r>
          </w:p>
        </w:tc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3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</w:t>
      </w:r>
    </w:p>
    <w:p>
      <w:pPr>
        <w:pStyle w:val="2"/>
        <w:jc w:val="center"/>
      </w:pPr>
      <w:r>
        <w:rPr>
          <w:sz w:val="24"/>
        </w:rPr>
        <w:t xml:space="preserve">канцелярских товаров в год на обеспечение деятельности</w:t>
      </w:r>
    </w:p>
    <w:p>
      <w:pPr>
        <w:pStyle w:val="2"/>
        <w:jc w:val="center"/>
      </w:pPr>
      <w:r>
        <w:rPr>
          <w:sz w:val="24"/>
        </w:rPr>
        <w:t xml:space="preserve">учреждений отрасли молодежной политики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76"/>
        <w:gridCol w:w="4252"/>
        <w:gridCol w:w="1757"/>
        <w:gridCol w:w="2098"/>
      </w:tblGrid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на одного работника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Ручка шариковая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Стержень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Карандаш простой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Тушь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0,083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Линейка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Штрих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Ластик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Кисть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Ватман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Лента клеящая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Ножницы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Блокнот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Ежедневник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Календарь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Папка для бумаг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Степлер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Клей конторский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Бумага для принтера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Бумага писчая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Фломастеры (упаковка из 6 штук)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Краски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Скрепки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  <w:t xml:space="preserve">Гуашь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</w:tr>
      <w:tr>
        <w:tc>
          <w:tcPr>
            <w:tcW w:w="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Бухгалтерская документация, бланки отчетности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комплектов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один на учреждение на год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Расходы на приобретение бухгалтерской документации и бланков отчетности учитываются в статье расходов "Прочие расходы".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4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 медикаментов и перевязочных средств</w:t>
      </w:r>
    </w:p>
    <w:p>
      <w:pPr>
        <w:pStyle w:val="2"/>
        <w:jc w:val="center"/>
      </w:pPr>
      <w:r>
        <w:rPr>
          <w:sz w:val="24"/>
        </w:rPr>
        <w:t xml:space="preserve">на обеспечение деятельности учреждений отрасли молодежной</w:t>
      </w:r>
    </w:p>
    <w:p>
      <w:pPr>
        <w:pStyle w:val="2"/>
        <w:jc w:val="center"/>
      </w:pPr>
      <w:r>
        <w:rPr>
          <w:sz w:val="24"/>
        </w:rPr>
        <w:t xml:space="preserve">политики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9"/>
        <w:gridCol w:w="3402"/>
        <w:gridCol w:w="1531"/>
        <w:gridCol w:w="2041"/>
        <w:gridCol w:w="1531"/>
      </w:tblGrid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Неспециализированные учреждения молодежной политики и оздоровительно-досуговые учреждения (норма на одного воспитанника в год)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Специализированные учреждения молодежной политики (норма на одного работника в год)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Лейкопластырь бактерицидный (6 x 10 см)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0,72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Термометр (медицинский)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0,084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Бинт нестерильный (7 x 14 см)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0,72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Анальгин (таблетки) 500 мг N 10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1,02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Спирт нашатырный 10%, 40 мл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Раствор йода 5%, 10 мл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0,18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Вата хирургическая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0,156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Калий марганцовокислый 5 г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0,18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Димедрол 50 мг N 10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0,48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бриллиантовый зеленый 1%, 10 мл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Дибазол N 10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1,02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Валериана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0,48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Корвалол, капли N 25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0,48</w:t>
            </w:r>
          </w:p>
        </w:tc>
      </w:tr>
      <w:tr>
        <w:tc>
          <w:tcPr>
            <w:tcW w:w="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Кордиамин, капли N 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0,084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5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 коммунальных услуг и услуг по вывозу</w:t>
      </w:r>
    </w:p>
    <w:p>
      <w:pPr>
        <w:pStyle w:val="2"/>
        <w:jc w:val="center"/>
      </w:pPr>
      <w:r>
        <w:rPr>
          <w:sz w:val="24"/>
        </w:rPr>
        <w:t xml:space="preserve">и утилизации твердых коммунальных отходов на обеспечение</w:t>
      </w:r>
    </w:p>
    <w:p>
      <w:pPr>
        <w:pStyle w:val="2"/>
        <w:jc w:val="center"/>
      </w:pPr>
      <w:r>
        <w:rPr>
          <w:sz w:val="24"/>
        </w:rPr>
        <w:t xml:space="preserve">деятельности учреждений отрасли молодежной политики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551"/>
        <w:gridCol w:w="2211"/>
        <w:gridCol w:w="2154"/>
        <w:gridCol w:w="1587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показателя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Неспециализированные учреждения молодежной политики и оздоровительно-досуговые учреждения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Специализированные учреждения молодежной политики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Водоснабжение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в сутки на одного обслуживаемого, воспитанника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0,0083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0,012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Водоотведение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в сутки на одного обслуживаемого, воспитанника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0,0082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0,0119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Тепловая энергия: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отопление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Мкал/кв. метров в сутки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0,5857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0,5857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горячая вода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Мкал в сутки на одного обслуживаемого, воспитанника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0,1222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0,235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Электроэнергия: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 освещение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час/кв. метров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часов искусственного освещения в год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часов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1 800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 обслуживание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кВт x час в сутки на одного обслуживаемого, воспитанника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0,433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Накопление твердых коммунальных отходов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метров в сутки на одного обслуживаемого, воспитанника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Нормы расхода воды (водоснабжение, водоотведение) установлены в соответствии с расчетными нормами расхода воды, утвержденными </w:t>
      </w:r>
      <w:hyperlink w:history="0" r:id="rId12" w:tooltip="Приказ Минстроя России от 30.12.2020 N 920/пр (с изм. от 06.04.2021) &quot;Об утверждении СП 30.13330.2020 &quot;СНиП 2.04.01-85* Внутренний водопровод и канализация зданий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строительства и жилищно-коммунального хозяйства Российской Федерации от 30 декабря 2020 г. N 920/пр "Об утверждении СП 30.13330.2020 "СНиП 2.04.01-85* Внутренний водопровод и канализация зданий".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Нормы расхода теплоэнергии в учреждениях отрасли молодежной политики установлены в соответствии с 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 (одобрены Научно-техническим советом Центра энергоресурсосбережения Федерального агентства по строительству и жилищно-коммунальному хозяйству, протокол от 12 июля 2002 г. N 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Нормы расхода теплоэнергии на горячее водоснабжение установлены на уровне нормы расхода теплоэнергии на горячее водоснабжение в жилых домах с централизованными системами горячего водоснабжения с учетом норм расхода горячей воды, утвержденных </w:t>
      </w:r>
      <w:hyperlink w:history="0" r:id="rId13" w:tooltip="Приказ Минстроя России от 30.12.2020 N 920/пр (с изм. от 06.04.2021) &quot;Об утверждении СП 30.13330.2020 &quot;СНиП 2.04.01-85* Внутренний водопровод и канализация зданий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строительства и жилищно-коммунального хозяйства Российской Федерации от 30 декабря 2020 г. N 920/пр "Об утверждении СП 30.13330.2020 "СНиП 2.04.01-85* Внутренний водопровод и канализация зданий", и режимом работы учреждения. Нормы расхода теплоэнергии по горячей воде даны для первой категории благоустройства.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Расход электроэнергии на технологические нужды учитывается в статье "Прочие расходы".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Нормы накопления твердых коммунальных отходов установлены на уровне норм, утвержденных </w:t>
      </w:r>
      <w:hyperlink w:history="0" r:id="rId14" w:tooltip="Постановление КМ РТ от 12.12.2016 N 922 (ред. от 26.11.2018, с изм. от 25.08.2023) &quot;Об утверждении нормативов накопления твердых коммунальных отходов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Кабинета Министров Республики Татарстан от 12.12.2016 N 922 "Об утверждении нормативов накопления твердых коммунальных отходов в Республике Татарстан", и с учетом норм </w:t>
      </w:r>
      <w:hyperlink w:history="0" r:id="rId15" w:tooltip="Постановление Правительства РФ от 26.08.2023 N 1390 (ред. от 07.03.2025) &quot;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, в том числе с твердыми коммунальными отходами, а также при установлении или корректировке нормативов накопления твердых коммунальных о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26 августа 2023 г. N 1390 "О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отходами, в том числе с твердыми коммунальными отходами,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6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обеспеченности услугами связи и периодическими</w:t>
      </w:r>
    </w:p>
    <w:p>
      <w:pPr>
        <w:pStyle w:val="2"/>
        <w:jc w:val="center"/>
      </w:pPr>
      <w:r>
        <w:rPr>
          <w:sz w:val="24"/>
        </w:rPr>
        <w:t xml:space="preserve">печатными изданиями на обеспечение деятельности учреждений</w:t>
      </w:r>
    </w:p>
    <w:p>
      <w:pPr>
        <w:pStyle w:val="2"/>
        <w:jc w:val="center"/>
      </w:pPr>
      <w:r>
        <w:rPr>
          <w:sz w:val="24"/>
        </w:rPr>
        <w:t xml:space="preserve">отрасли молодежной политики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685"/>
        <w:gridCol w:w="3260"/>
        <w:gridCol w:w="1417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 связи</w:t>
            </w:r>
          </w:p>
        </w:tc>
        <w:tc>
          <w:tcPr>
            <w:tcW w:w="3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обеспеченности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Местные (включая внутризоновые) телефонные соединения</w:t>
            </w:r>
          </w:p>
        </w:tc>
        <w:tc>
          <w:tcPr>
            <w:tcW w:w="32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минут на каждого работника в месяц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Междугородние телефонные соединения</w:t>
            </w:r>
          </w:p>
        </w:tc>
        <w:tc>
          <w:tcPr>
            <w:tcW w:w="32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минут на каждого работника в месяц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Абонентские номера для передачи голосовой информации с абонентской платой</w:t>
            </w:r>
          </w:p>
        </w:tc>
        <w:tc>
          <w:tcPr>
            <w:tcW w:w="32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номеров на государственное учреждение при штатной численности государственного учреждения до 10 единиц включительно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2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номеров на каждого работника при штатной численности государственного учреждения от 11 единиц и более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Информационно-телекоммуникационная сеть "Интернет"</w:t>
            </w:r>
          </w:p>
        </w:tc>
        <w:tc>
          <w:tcPr>
            <w:tcW w:w="32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платежей в год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gridSpan w:val="3"/>
            <w:tcW w:w="83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периодических печатных изданий: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научно-популярных</w:t>
            </w:r>
          </w:p>
        </w:tc>
        <w:tc>
          <w:tcPr>
            <w:tcW w:w="32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экземпляров в год на учреждение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общественно-политических</w:t>
            </w:r>
          </w:p>
        </w:tc>
        <w:tc>
          <w:tcPr>
            <w:tcW w:w="32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экземпляров в год на учреждение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Нормы обеспечения услугами связи установлены на уровне норм, приведенных в </w:t>
      </w:r>
      <w:hyperlink w:history="0" r:id="rId16" w:tooltip="Постановление КМ РТ от 01.06.2013 N 376 (ред. от 09.10.2025) &quot;Об утверждении Порядка расчета нормативных затрат на выполнение (оказание) государственных работ (услуг) государственными учреждениями Республики Татарстан и Методики расчета нормативной численности работников государственных учреждений Республики Татарстан, выполняющих государственные работы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расчета нормативных затрат на выполнение (оказание) государственных работ (услуг) государственными учреждениями Республики Татарстан, утвержденном постановлением Кабинета Министров Республики Татарстан от 01.06.2013 N 376 "Об утверждении Порядка расчета нормативных затрат на выполнение (оказание) государственных работ (услуг) государственными учреждениями Республики Татарстан и Методики расчета нормативной численности работников государственных учреждений Республики Татарстан, выполняющих государственные работы".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7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 на текущий ремонт общественных зданий</w:t>
      </w:r>
    </w:p>
    <w:p>
      <w:pPr>
        <w:pStyle w:val="2"/>
        <w:jc w:val="center"/>
      </w:pPr>
      <w:r>
        <w:rPr>
          <w:sz w:val="24"/>
        </w:rPr>
        <w:t xml:space="preserve">по группам капитальности на обеспечение деятельности</w:t>
      </w:r>
    </w:p>
    <w:p>
      <w:pPr>
        <w:pStyle w:val="2"/>
        <w:jc w:val="center"/>
      </w:pPr>
      <w:r>
        <w:rPr>
          <w:sz w:val="24"/>
        </w:rPr>
        <w:t xml:space="preserve">учреждений отрасли молодежной политики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381"/>
        <w:gridCol w:w="5953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капитальности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нормы, процентов от восстановительной стоимости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1,15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1,3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Нормы расхода на текущий ремонт общественных зданий, сооружений установлены с учетом требований, утвержденных Федеральным агентством по строительству и жилищно-коммунальному хозяйству (Методическое </w:t>
      </w:r>
      <w:hyperlink w:history="0" r:id="rId17" w:tooltip="Ссылка на КонсультантПлюс">
        <w:r>
          <w:rPr>
            <w:sz w:val="24"/>
            <w:color w:val="0000ff"/>
          </w:rPr>
          <w:t xml:space="preserve">пособие</w:t>
        </w:r>
      </w:hyperlink>
      <w:r>
        <w:rPr>
          <w:sz w:val="24"/>
        </w:rPr>
        <w:t xml:space="preserve"> по содержанию и ремонту жилищного фонда. МДК 2-04.2004).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Нормы расхода на заработную плату для государственных учреждений определяются в соответствии с </w:t>
      </w:r>
      <w:hyperlink w:history="0" r:id="rId18" w:tooltip="Постановление КМ РТ от 14.08.2018 N 665 (ред. от 22.09.2025) &quot;Об условиях оплаты труда работников государственных организаций молодежной политик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Кабинета Министров Республики Татарстан от 14.08.2018 N 665 "Об условиях оплаты труда работников государственных организаций молодежной политики Республики Татарстан".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заработную плату для муниципальных учреждений определяются в соответствии с нормативными актами об условиях оплаты труда органов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командировочные и служебные разъезды для государственных учреждений устанавливаются в размере 4 процентов от фонда оплаты труда (на уровне фактически сложившихся в истекший период значений).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командировочные и служебные разъезды для муниципальных учреждений устанавливаются в размере 1 процента от фонда оплаты труда (на уровне фактически сложившихся в истекший период значений).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прочие расходы устанавливаются: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неспециализированных учреждений молодежной политики и оздоровительно-досуговых учреждений в размере 4 процентов от текущих расходов;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специализированных учреждений молодежной политики в размере 2 процентов от текущих расходов.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текущий ремонт оборудования установлены в размере 2 процентов от восстановительной стоимости оборудования в соответствии с </w:t>
      </w:r>
      <w:hyperlink w:history="0" r:id="rId19" w:tooltip="&quot;Нормативы затрат на ремонт в процентах от балансовой стоимости конкретных видов основных средств электростанций. СО 34.20.611-2003&quot; (согласовано Минэнерго РФ, ФЭК РФ, РАО &quot;ЕЭС России&quot;) {КонсультантПлюс}">
        <w:r>
          <w:rPr>
            <w:sz w:val="24"/>
            <w:color w:val="0000ff"/>
          </w:rPr>
          <w:t xml:space="preserve">документом</w:t>
        </w:r>
      </w:hyperlink>
      <w:r>
        <w:rPr>
          <w:sz w:val="24"/>
        </w:rPr>
        <w:t xml:space="preserve"> "Нормативы затрат на ремонт в процентах от балансовой стоимости конкретных видов основных средств электростанций. СО 34.20.611-2003", согласованным Министерством энергетики Российской Федерации, Федеральной Энергетической Комиссией Российской Федерации, Российским открытым акционерным обществом энергетики и электрификации "ЕЭС РОССИИ".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Расходы на проведение мероприятий установлены: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республиканского бюджета в размере трехкратного минимального размера оплаты труда на 1 000 человек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местного бюджета в размере двукратного минимального размера оплаты труда на 1 000 человек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проведение мероприятий сформированы на основе анализа фактических расходов по отрасли молодежной политики за истекшие три года как на местном, так и на республиканском уровнях финансирования.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"Нормы расходов на обеспечение деятельности учреждений отрасли молодежной политики"</w:t>
            <w:br/>
            <w:t>(утв. Постановлением КМ РТ от 05.07....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63&amp;n=193943&amp;date=11.02.2026&amp;dst=100017&amp;field=134" TargetMode = "External"/><Relationship Id="rId9" Type="http://schemas.openxmlformats.org/officeDocument/2006/relationships/hyperlink" Target="https://login.consultant.ru/link/?req=doc&amp;base=RLAW363&amp;n=193910&amp;date=11.02.2026&amp;dst=100017&amp;field=134" TargetMode = "External"/><Relationship Id="rId10" Type="http://schemas.openxmlformats.org/officeDocument/2006/relationships/hyperlink" Target="https://login.consultant.ru/link/?req=doc&amp;base=RLAW363&amp;n=194929&amp;date=11.02.2026&amp;dst=113036&amp;field=134" TargetMode = "External"/><Relationship Id="rId11" Type="http://schemas.openxmlformats.org/officeDocument/2006/relationships/hyperlink" Target="https://login.consultant.ru/link/?req=doc&amp;base=RLAW363&amp;n=154003&amp;date=11.02.2026" TargetMode = "External"/><Relationship Id="rId12" Type="http://schemas.openxmlformats.org/officeDocument/2006/relationships/hyperlink" Target="https://login.consultant.ru/link/?req=doc&amp;base=LAW&amp;n=378428&amp;date=11.02.2026" TargetMode = "External"/><Relationship Id="rId13" Type="http://schemas.openxmlformats.org/officeDocument/2006/relationships/hyperlink" Target="https://login.consultant.ru/link/?req=doc&amp;base=LAW&amp;n=378428&amp;date=11.02.2026" TargetMode = "External"/><Relationship Id="rId14" Type="http://schemas.openxmlformats.org/officeDocument/2006/relationships/hyperlink" Target="https://login.consultant.ru/link/?req=doc&amp;base=RLAW363&amp;n=135503&amp;date=11.02.2026" TargetMode = "External"/><Relationship Id="rId15" Type="http://schemas.openxmlformats.org/officeDocument/2006/relationships/hyperlink" Target="https://login.consultant.ru/link/?req=doc&amp;base=LAW&amp;n=500910&amp;date=11.02.2026" TargetMode = "External"/><Relationship Id="rId16" Type="http://schemas.openxmlformats.org/officeDocument/2006/relationships/hyperlink" Target="https://login.consultant.ru/link/?req=doc&amp;base=RLAW363&amp;n=193043&amp;date=11.02.2026&amp;dst=100305&amp;field=134" TargetMode = "External"/><Relationship Id="rId17" Type="http://schemas.openxmlformats.org/officeDocument/2006/relationships/hyperlink" Target="https://login.consultant.ru/link/?req=doc&amp;base=STR&amp;n=5099&amp;date=11.02.2026" TargetMode = "External"/><Relationship Id="rId18" Type="http://schemas.openxmlformats.org/officeDocument/2006/relationships/hyperlink" Target="https://login.consultant.ru/link/?req=doc&amp;base=RLAW363&amp;n=192779&amp;date=11.02.2026" TargetMode = "External"/><Relationship Id="rId19" Type="http://schemas.openxmlformats.org/officeDocument/2006/relationships/hyperlink" Target="https://login.consultant.ru/link/?req=doc&amp;base=EXP&amp;n=383908&amp;date=11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"Нормы расходов на обеспечение деятельности учреждений отрасли молодежной политики"
(утв. Постановлением КМ РТ от 05.07.2000 N 470)
(ред. от 26.11.2025)</dc:title>
  <dcterms:created xsi:type="dcterms:W3CDTF">2026-02-11T06:36:45Z</dcterms:created>
</cp:coreProperties>
</file>