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3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tabs>
          <w:tab w:val="left" w:leader="none" w:pos="3544"/>
        </w:tabs>
        <w:spacing w:after="0" w:line="240" w:lineRule="auto"/>
        <w:ind w:right="5528" w:firstLine="0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, утвержденные</w:t>
      </w:r>
      <w:r>
        <w:rPr>
          <w:rFonts w:ascii="Times New Roman" w:hAnsi="Times New Roman"/>
          <w:sz w:val="28"/>
          <w:szCs w:val="28"/>
          <w:highlight w:val="none"/>
        </w:rPr>
        <w:t xml:space="preserve"> 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sz w:val="28"/>
          <w:szCs w:val="28"/>
          <w:highlight w:val="none"/>
        </w:rPr>
        <w:t xml:space="preserve">а 2025 год и на плановый период 2026 и 2027 годов»</w:t>
      </w:r>
      <w:r>
        <w:rPr>
          <w:highlight w:val="none"/>
        </w:rPr>
      </w:r>
      <w:r>
        <w:rPr>
          <w:highlight w:val="none"/>
        </w:rPr>
      </w:r>
    </w:p>
    <w:p>
      <w:pPr>
        <w:pStyle w:val="953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Татарстан от </w:t>
      </w:r>
      <w:r>
        <w:rPr>
          <w:rFonts w:ascii="Times New Roman" w:hAnsi="Times New Roman"/>
          <w:sz w:val="28"/>
          <w:szCs w:val="28"/>
          <w:lang w:eastAsia="ru-RU"/>
        </w:rPr>
        <w:t xml:space="preserve">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</w:t>
      </w:r>
      <w:r>
        <w:rPr>
          <w:rFonts w:ascii="Times New Roman" w:hAnsi="Times New Roman"/>
          <w:sz w:val="28"/>
          <w:szCs w:val="28"/>
        </w:rPr>
        <w:t xml:space="preserve">постановлениями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12.05.2025 №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24.05.2025</w:t>
        <w:br/>
        <w:t xml:space="preserve">№ 350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29.05.2025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371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  <w14:ligatures w14:val="none"/>
        </w:rPr>
        <w:t xml:space="preserve">, </w:t>
      </w:r>
      <w:r>
        <w:rPr>
          <w:rFonts w:ascii="Times New Roman" w:hAnsi="Times New Roman"/>
          <w:sz w:val="28"/>
          <w:szCs w:val="28"/>
          <w14:ligatures w14:val="none"/>
        </w:rPr>
        <w:t xml:space="preserve">следующие </w:t>
      </w:r>
      <w:r>
        <w:rPr>
          <w:rFonts w:ascii="Times New Roman" w:hAnsi="Times New Roman"/>
          <w:sz w:val="28"/>
          <w:szCs w:val="28"/>
          <w14:ligatures w14:val="none"/>
        </w:rPr>
        <w:t xml:space="preserve">изменения</w:t>
      </w:r>
      <w:r>
        <w:rPr>
          <w:rFonts w:ascii="Times New Roman" w:hAnsi="Times New Roman"/>
          <w:sz w:val="28"/>
          <w:szCs w:val="28"/>
          <w14:ligatures w14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4 пункта 2.2 цифры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370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519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446,58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заменить цифрами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374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045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746,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58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пункт 2.4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Style w:val="766"/>
        <w:tblW w:w="0" w:type="auto"/>
        <w:tblInd w:w="1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269"/>
        <w:gridCol w:w="2835"/>
        <w:gridCol w:w="1559"/>
        <w:gridCol w:w="1558"/>
        <w:gridCol w:w="15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Государственное бюджетное учреждение «Безопасность дорожного движения»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мероприятий по обеспечению безопасности дорожного движения на автомобильных дорогах общего пользования при осуществлении дорожной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895 844 532,0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899 669 332,0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903 685 432,0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измерение весовых и габаритных параметров транспортных средств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277 874 782,0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277 874 782,0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277 874 782,0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49 079 076,0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49 079 076,0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49 079 076,0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перемещения и хранения транспортных средств, а также эксплуатация специализированных стоянок (перемещение задержанных транспортных средств на специализированную стоянку)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136 678 415,0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136 678 415,0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136 678 415,0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перемещения и хранения транспортных средств, а также эксплуатация специализированных стоянок (хранение и учет задержанных транспортных средств на специализированных стоянках)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137 106 244,0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137 106 244,0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137 106 244,0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административное обеспечение деятельности организации (проведение анализа)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51 775 400,0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51 775 400,0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51 775 400,0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административное обеспечение деятельности организации (проведение экспертизы)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38 983 000,0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38 983 000,0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38 983 000,0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административное обеспечение деятельности организации (организация закупок)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15 669 500,0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15 669 500,0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15 669 500,0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создание и развитие информационных систем и компонентов информационно-телекоммуникационной инфраструктуры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83 065 900,0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83 065 900,0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83 065 900,0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прикладных научных исследований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18 225 000,0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18 225 000,0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18 225 000,0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87 914 100,0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87 914 100,0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87 914 100,0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ведение информационных ресурсов и баз данных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29 389 800,0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29 389 800,0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29 389 800,0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;</w:t>
            </w:r>
            <w:r/>
          </w:p>
        </w:tc>
      </w:tr>
    </w:tbl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53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строке «административное обеспечение деятельности организации (проведение мониторинга)» пункта 13.1 цифры «</w:t>
      </w:r>
      <w:r>
        <w:rPr>
          <w:rFonts w:ascii="Times New Roman" w:hAnsi="Times New Roman"/>
          <w:sz w:val="28"/>
          <w:szCs w:val="28"/>
          <w:highlight w:val="none"/>
        </w:rPr>
        <w:t xml:space="preserve">84 186</w:t>
      </w:r>
      <w:r>
        <w:rPr>
          <w:rFonts w:ascii="Times New Roman" w:hAnsi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</w:rPr>
        <w:t xml:space="preserve">051,28</w:t>
      </w:r>
      <w:r>
        <w:rPr>
          <w:rFonts w:ascii="Times New Roman" w:hAnsi="Times New Roman"/>
          <w:sz w:val="28"/>
          <w:szCs w:val="28"/>
          <w:highlight w:val="none"/>
        </w:rPr>
        <w:t xml:space="preserve">» заменить цифрами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85 373 751,28</w:t>
      </w:r>
      <w:r>
        <w:rPr>
          <w:rFonts w:ascii="Times New Roman" w:hAnsi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3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3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изменений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 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тарстан от 18.09.2024</w:t>
        <w:br/>
        <w:t xml:space="preserve">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3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в 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</w:t>
      </w:r>
      <w:r>
        <w:rPr>
          <w:rFonts w:ascii="Times New Roman" w:hAnsi="Times New Roman"/>
          <w:sz w:val="28"/>
          <w:szCs w:val="28"/>
          <w:highlight w:val="none"/>
        </w:rPr>
        <w:t xml:space="preserve">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/>
          <w:sz w:val="28"/>
          <w:szCs w:val="28"/>
          <w:highlight w:val="none"/>
        </w:rPr>
        <w:t xml:space="preserve"> во исполнение пункта 2 распоряжения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.202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947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государственному</w:t>
      </w:r>
      <w:r>
        <w:rPr>
          <w:rFonts w:ascii="Times New Roman" w:hAnsi="Times New Roman"/>
          <w:sz w:val="28"/>
          <w:szCs w:val="28"/>
          <w:highlight w:val="none"/>
        </w:rPr>
        <w:t xml:space="preserve"> бюджетно</w:t>
      </w:r>
      <w:r>
        <w:rPr>
          <w:rFonts w:ascii="Times New Roman" w:hAnsi="Times New Roman"/>
          <w:sz w:val="28"/>
          <w:szCs w:val="28"/>
          <w:highlight w:val="none"/>
        </w:rPr>
        <w:t xml:space="preserve">му</w:t>
      </w:r>
      <w:r>
        <w:rPr>
          <w:rFonts w:ascii="Times New Roman" w:hAnsi="Times New Roman"/>
          <w:sz w:val="28"/>
          <w:szCs w:val="28"/>
          <w:highlight w:val="none"/>
        </w:rPr>
        <w:t xml:space="preserve"> учреждени</w:t>
      </w:r>
      <w:r>
        <w:rPr>
          <w:rFonts w:ascii="Times New Roman" w:hAnsi="Times New Roman"/>
          <w:sz w:val="28"/>
          <w:szCs w:val="28"/>
          <w:highlight w:val="none"/>
        </w:rPr>
        <w:t xml:space="preserve">ю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Хозяйственное управление при Кабинете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ГБУ «</w:t>
      </w:r>
      <w:r>
        <w:rPr>
          <w:rFonts w:ascii="Times New Roman" w:hAnsi="Times New Roman"/>
          <w:sz w:val="28"/>
          <w:szCs w:val="28"/>
          <w:highlight w:val="none"/>
        </w:rPr>
        <w:t xml:space="preserve">ХОЗУ</w:t>
      </w:r>
      <w:r>
        <w:rPr>
          <w:rFonts w:ascii="Times New Roman" w:hAnsi="Times New Roman"/>
          <w:sz w:val="28"/>
          <w:szCs w:val="28"/>
          <w:highlight w:val="none"/>
        </w:rPr>
        <w:t xml:space="preserve"> РТ»)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увеличение объема финансового обеспечения выполнения государственного задания в связи с передачей на баланс учреждения 24 транспортных средств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/>
          <w:sz w:val="28"/>
          <w:szCs w:val="28"/>
          <w:highlight w:val="none"/>
        </w:rPr>
        <w:t xml:space="preserve"> во исполнение пункта 2 распоряжения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/>
          <w:sz w:val="28"/>
          <w:szCs w:val="28"/>
          <w:highlight w:val="none"/>
        </w:rPr>
        <w:t xml:space="preserve">.0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.2025 № </w:t>
      </w:r>
      <w:r>
        <w:rPr>
          <w:rFonts w:ascii="Times New Roman" w:hAnsi="Times New Roman"/>
          <w:sz w:val="28"/>
          <w:szCs w:val="28"/>
          <w:highlight w:val="none"/>
        </w:rPr>
        <w:t xml:space="preserve">996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государственному </w:t>
      </w:r>
      <w:r>
        <w:rPr>
          <w:rFonts w:ascii="Times New Roman" w:hAnsi="Times New Roman"/>
          <w:sz w:val="28"/>
          <w:szCs w:val="28"/>
          <w:highlight w:val="none"/>
        </w:rPr>
        <w:t xml:space="preserve">бюджетно</w:t>
      </w:r>
      <w:r>
        <w:rPr>
          <w:rFonts w:ascii="Times New Roman" w:hAnsi="Times New Roman"/>
          <w:sz w:val="28"/>
          <w:szCs w:val="28"/>
          <w:highlight w:val="none"/>
        </w:rPr>
        <w:t xml:space="preserve">му </w:t>
      </w:r>
      <w:r>
        <w:rPr>
          <w:rFonts w:ascii="Times New Roman" w:hAnsi="Times New Roman"/>
          <w:sz w:val="28"/>
          <w:szCs w:val="28"/>
          <w:highlight w:val="none"/>
        </w:rPr>
        <w:t xml:space="preserve">учреждени</w:t>
      </w:r>
      <w:r>
        <w:rPr>
          <w:rFonts w:ascii="Times New Roman" w:hAnsi="Times New Roman"/>
          <w:sz w:val="28"/>
          <w:szCs w:val="28"/>
          <w:highlight w:val="none"/>
        </w:rPr>
        <w:t xml:space="preserve">ю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Безопасность дорожного движения</w:t>
      </w:r>
      <w:r>
        <w:rPr>
          <w:rFonts w:ascii="Times New Roman" w:hAnsi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ГБУ «</w:t>
      </w:r>
      <w:r>
        <w:rPr>
          <w:rFonts w:ascii="Times New Roman" w:hAnsi="Times New Roman"/>
          <w:sz w:val="28"/>
          <w:szCs w:val="28"/>
          <w:highlight w:val="none"/>
        </w:rPr>
        <w:t xml:space="preserve">БДД</w:t>
      </w:r>
      <w:r>
        <w:rPr>
          <w:rFonts w:ascii="Times New Roman" w:hAnsi="Times New Roman"/>
          <w:sz w:val="28"/>
          <w:szCs w:val="28"/>
          <w:highlight w:val="none"/>
        </w:rPr>
        <w:t xml:space="preserve">») на увеличение объе</w:t>
      </w:r>
      <w:r>
        <w:rPr>
          <w:rFonts w:ascii="Times New Roman" w:hAnsi="Times New Roman"/>
          <w:sz w:val="28"/>
          <w:szCs w:val="28"/>
          <w:highlight w:val="none"/>
        </w:rPr>
        <w:t xml:space="preserve">ма финансового обеспечения выполнения государственного задания в части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оплаты труда работников с учетом начислений на выплаты по оплате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/>
          <w:sz w:val="28"/>
          <w:szCs w:val="28"/>
          <w:highlight w:val="none"/>
        </w:rPr>
        <w:t xml:space="preserve"> во исполнение пункта 2 распоряжения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/>
          <w:sz w:val="28"/>
          <w:szCs w:val="28"/>
          <w:highlight w:val="none"/>
        </w:rPr>
        <w:t xml:space="preserve">.0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.2025 № </w:t>
      </w:r>
      <w:r>
        <w:rPr>
          <w:rFonts w:ascii="Times New Roman" w:hAnsi="Times New Roman"/>
          <w:sz w:val="28"/>
          <w:szCs w:val="28"/>
          <w:highlight w:val="none"/>
        </w:rPr>
        <w:t xml:space="preserve">997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государственному бюджетному учреждению «Научно-производственное объединение по геологии и использованию недр Республики Татарстан»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ГБУ «НПО Геоцентр РТ») на увеличение объе</w:t>
      </w:r>
      <w:r>
        <w:rPr>
          <w:rFonts w:ascii="Times New Roman" w:hAnsi="Times New Roman"/>
          <w:sz w:val="28"/>
          <w:szCs w:val="28"/>
          <w:highlight w:val="none"/>
        </w:rPr>
        <w:t xml:space="preserve">ма финансового обеспечения выполнения государственного задания в части приобретения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эколого-аналитического оборудования для модернизации автоматических станций контроля загрязнения атмосферного воздуха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ятся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</w:t>
      </w:r>
      <w:r>
        <w:rPr>
          <w:rFonts w:ascii="Times New Roman" w:hAnsi="Times New Roman"/>
          <w:sz w:val="28"/>
          <w:szCs w:val="28"/>
          <w:highlight w:val="none"/>
        </w:rPr>
        <w:t xml:space="preserve">ия</w:t>
      </w:r>
      <w:r>
        <w:rPr>
          <w:rFonts w:ascii="Times New Roman" w:hAnsi="Times New Roman"/>
          <w:sz w:val="28"/>
          <w:szCs w:val="28"/>
          <w:highlight w:val="none"/>
        </w:rPr>
        <w:t xml:space="preserve"> в части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корректировки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</w:t>
      </w:r>
      <w:r>
        <w:rPr>
          <w:rFonts w:ascii="Times New Roman" w:hAnsi="Times New Roman"/>
          <w:sz w:val="28"/>
          <w:szCs w:val="28"/>
          <w:highlight w:val="none"/>
        </w:rPr>
        <w:t xml:space="preserve">х</w:t>
      </w:r>
      <w:r>
        <w:rPr>
          <w:rFonts w:ascii="Times New Roman" w:hAnsi="Times New Roman"/>
          <w:sz w:val="28"/>
          <w:szCs w:val="28"/>
          <w:highlight w:val="none"/>
        </w:rPr>
        <w:t xml:space="preserve"> затрат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нные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раб</w:t>
      </w:r>
      <w:r>
        <w:rPr>
          <w:rFonts w:ascii="Times New Roman" w:hAnsi="Times New Roman"/>
          <w:sz w:val="28"/>
          <w:szCs w:val="28"/>
          <w:highlight w:val="none"/>
        </w:rPr>
        <w:t xml:space="preserve">оты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выполняемые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ГБУ «</w:t>
      </w:r>
      <w:r>
        <w:rPr>
          <w:rFonts w:ascii="Times New Roman" w:hAnsi="Times New Roman"/>
          <w:sz w:val="28"/>
          <w:szCs w:val="28"/>
          <w:highlight w:val="none"/>
        </w:rPr>
        <w:t xml:space="preserve">ХОЗУ</w:t>
      </w:r>
      <w:r>
        <w:rPr>
          <w:rFonts w:ascii="Times New Roman" w:hAnsi="Times New Roman"/>
          <w:sz w:val="28"/>
          <w:szCs w:val="28"/>
          <w:highlight w:val="none"/>
        </w:rPr>
        <w:t xml:space="preserve"> РТ»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ГБУ </w:t>
      </w:r>
      <w:r>
        <w:rPr>
          <w:rFonts w:ascii="Times New Roman" w:hAnsi="Times New Roman"/>
          <w:sz w:val="28"/>
          <w:szCs w:val="28"/>
          <w:highlight w:val="none"/>
        </w:rPr>
        <w:t xml:space="preserve">ГБУ «</w:t>
      </w:r>
      <w:r>
        <w:rPr>
          <w:rFonts w:ascii="Times New Roman" w:hAnsi="Times New Roman"/>
          <w:sz w:val="28"/>
          <w:szCs w:val="28"/>
          <w:highlight w:val="none"/>
        </w:rPr>
        <w:t xml:space="preserve">БДД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«НПО Геоцентр РТ»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0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"/>
    <w:basedOn w:val="7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 Light"/>
    <w:basedOn w:val="7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7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7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2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3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4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5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6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1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2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3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4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5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>
    <w:name w:val="Heading 1"/>
    <w:basedOn w:val="953"/>
    <w:next w:val="953"/>
    <w:link w:val="90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3">
    <w:name w:val="Heading 2"/>
    <w:basedOn w:val="953"/>
    <w:next w:val="953"/>
    <w:link w:val="90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3"/>
    <w:next w:val="953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3"/>
    <w:next w:val="953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3"/>
    <w:next w:val="953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3"/>
    <w:next w:val="953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3"/>
    <w:next w:val="953"/>
    <w:link w:val="90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3"/>
    <w:next w:val="953"/>
    <w:link w:val="91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3"/>
    <w:next w:val="953"/>
    <w:link w:val="91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 w:default="1">
    <w:name w:val="Default Paragraph Font"/>
    <w:uiPriority w:val="1"/>
    <w:semiHidden/>
    <w:unhideWhenUsed/>
    <w:pPr>
      <w:pBdr/>
      <w:spacing/>
      <w:ind/>
    </w:pPr>
  </w:style>
  <w:style w:type="numbering" w:styleId="902" w:default="1">
    <w:name w:val="No List"/>
    <w:uiPriority w:val="99"/>
    <w:semiHidden/>
    <w:unhideWhenUsed/>
    <w:pPr>
      <w:pBdr/>
      <w:spacing/>
      <w:ind/>
    </w:pPr>
  </w:style>
  <w:style w:type="character" w:styleId="903">
    <w:name w:val="Heading 1 Char"/>
    <w:basedOn w:val="901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4">
    <w:name w:val="Heading 2 Char"/>
    <w:basedOn w:val="901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5">
    <w:name w:val="Heading 3 Char"/>
    <w:basedOn w:val="90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6">
    <w:name w:val="Heading 4 Char"/>
    <w:basedOn w:val="90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7">
    <w:name w:val="Heading 5 Char"/>
    <w:basedOn w:val="90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8">
    <w:name w:val="Heading 6 Char"/>
    <w:basedOn w:val="90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9">
    <w:name w:val="Heading 7 Char"/>
    <w:basedOn w:val="901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0">
    <w:name w:val="Heading 8 Char"/>
    <w:basedOn w:val="90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1">
    <w:name w:val="Heading 9 Char"/>
    <w:basedOn w:val="90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2">
    <w:name w:val="Title"/>
    <w:basedOn w:val="953"/>
    <w:next w:val="953"/>
    <w:link w:val="91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>
    <w:name w:val="Title Char"/>
    <w:basedOn w:val="901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953"/>
    <w:next w:val="953"/>
    <w:link w:val="91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5">
    <w:name w:val="Subtitle Char"/>
    <w:basedOn w:val="901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6">
    <w:name w:val="Quote"/>
    <w:basedOn w:val="953"/>
    <w:next w:val="953"/>
    <w:link w:val="91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7">
    <w:name w:val="Quote Char"/>
    <w:basedOn w:val="901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8">
    <w:name w:val="List Paragraph"/>
    <w:basedOn w:val="953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basedOn w:val="9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0">
    <w:name w:val="Intense Quote"/>
    <w:basedOn w:val="953"/>
    <w:next w:val="953"/>
    <w:link w:val="92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1">
    <w:name w:val="Intense Quote Char"/>
    <w:basedOn w:val="901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2">
    <w:name w:val="Intense Reference"/>
    <w:basedOn w:val="9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3">
    <w:name w:val="No Spacing"/>
    <w:basedOn w:val="953"/>
    <w:uiPriority w:val="1"/>
    <w:qFormat/>
    <w:pPr>
      <w:pBdr/>
      <w:spacing w:after="0" w:line="240" w:lineRule="auto"/>
      <w:ind/>
    </w:pPr>
  </w:style>
  <w:style w:type="character" w:styleId="924">
    <w:name w:val="Subtle Emphasis"/>
    <w:basedOn w:val="9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5">
    <w:name w:val="Emphasis"/>
    <w:basedOn w:val="901"/>
    <w:uiPriority w:val="20"/>
    <w:qFormat/>
    <w:pPr>
      <w:pBdr/>
      <w:spacing/>
      <w:ind/>
    </w:pPr>
    <w:rPr>
      <w:i/>
      <w:iCs/>
    </w:rPr>
  </w:style>
  <w:style w:type="character" w:styleId="926">
    <w:name w:val="Strong"/>
    <w:basedOn w:val="901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basedOn w:val="9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8">
    <w:name w:val="Book Title"/>
    <w:basedOn w:val="9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953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>
    <w:name w:val="Header Char"/>
    <w:basedOn w:val="901"/>
    <w:link w:val="929"/>
    <w:uiPriority w:val="99"/>
    <w:pPr>
      <w:pBdr/>
      <w:spacing/>
      <w:ind/>
    </w:pPr>
  </w:style>
  <w:style w:type="paragraph" w:styleId="931">
    <w:name w:val="Footer"/>
    <w:basedOn w:val="953"/>
    <w:link w:val="9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2">
    <w:name w:val="Footer Char"/>
    <w:basedOn w:val="901"/>
    <w:link w:val="931"/>
    <w:uiPriority w:val="99"/>
    <w:pPr>
      <w:pBdr/>
      <w:spacing/>
      <w:ind/>
    </w:pPr>
  </w:style>
  <w:style w:type="paragraph" w:styleId="933">
    <w:name w:val="Caption"/>
    <w:basedOn w:val="953"/>
    <w:next w:val="9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4">
    <w:name w:val="footnote text"/>
    <w:basedOn w:val="953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Footnote Text Char"/>
    <w:basedOn w:val="90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basedOn w:val="901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953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Endnote Text Char"/>
    <w:basedOn w:val="901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basedOn w:val="901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basedOn w:val="9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1">
    <w:name w:val="FollowedHyperlink"/>
    <w:basedOn w:val="9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2">
    <w:name w:val="toc 1"/>
    <w:basedOn w:val="953"/>
    <w:next w:val="953"/>
    <w:uiPriority w:val="39"/>
    <w:unhideWhenUsed/>
    <w:pPr>
      <w:pBdr/>
      <w:spacing w:after="100"/>
      <w:ind/>
    </w:pPr>
  </w:style>
  <w:style w:type="paragraph" w:styleId="943">
    <w:name w:val="toc 2"/>
    <w:basedOn w:val="953"/>
    <w:next w:val="953"/>
    <w:uiPriority w:val="39"/>
    <w:unhideWhenUsed/>
    <w:pPr>
      <w:pBdr/>
      <w:spacing w:after="100"/>
      <w:ind w:left="220"/>
    </w:pPr>
  </w:style>
  <w:style w:type="paragraph" w:styleId="944">
    <w:name w:val="toc 3"/>
    <w:basedOn w:val="953"/>
    <w:next w:val="953"/>
    <w:uiPriority w:val="39"/>
    <w:unhideWhenUsed/>
    <w:pPr>
      <w:pBdr/>
      <w:spacing w:after="100"/>
      <w:ind w:left="440"/>
    </w:pPr>
  </w:style>
  <w:style w:type="paragraph" w:styleId="945">
    <w:name w:val="toc 4"/>
    <w:basedOn w:val="953"/>
    <w:next w:val="953"/>
    <w:uiPriority w:val="39"/>
    <w:unhideWhenUsed/>
    <w:pPr>
      <w:pBdr/>
      <w:spacing w:after="100"/>
      <w:ind w:left="660"/>
    </w:pPr>
  </w:style>
  <w:style w:type="paragraph" w:styleId="946">
    <w:name w:val="toc 5"/>
    <w:basedOn w:val="953"/>
    <w:next w:val="953"/>
    <w:uiPriority w:val="39"/>
    <w:unhideWhenUsed/>
    <w:pPr>
      <w:pBdr/>
      <w:spacing w:after="100"/>
      <w:ind w:left="880"/>
    </w:pPr>
  </w:style>
  <w:style w:type="paragraph" w:styleId="947">
    <w:name w:val="toc 6"/>
    <w:basedOn w:val="953"/>
    <w:next w:val="953"/>
    <w:uiPriority w:val="39"/>
    <w:unhideWhenUsed/>
    <w:pPr>
      <w:pBdr/>
      <w:spacing w:after="100"/>
      <w:ind w:left="1100"/>
    </w:pPr>
  </w:style>
  <w:style w:type="paragraph" w:styleId="948">
    <w:name w:val="toc 7"/>
    <w:basedOn w:val="953"/>
    <w:next w:val="953"/>
    <w:uiPriority w:val="39"/>
    <w:unhideWhenUsed/>
    <w:pPr>
      <w:pBdr/>
      <w:spacing w:after="100"/>
      <w:ind w:left="1320"/>
    </w:pPr>
  </w:style>
  <w:style w:type="paragraph" w:styleId="949">
    <w:name w:val="toc 8"/>
    <w:basedOn w:val="953"/>
    <w:next w:val="953"/>
    <w:uiPriority w:val="39"/>
    <w:unhideWhenUsed/>
    <w:pPr>
      <w:pBdr/>
      <w:spacing w:after="100"/>
      <w:ind w:left="1540"/>
    </w:pPr>
  </w:style>
  <w:style w:type="paragraph" w:styleId="950">
    <w:name w:val="toc 9"/>
    <w:basedOn w:val="953"/>
    <w:next w:val="953"/>
    <w:uiPriority w:val="39"/>
    <w:unhideWhenUsed/>
    <w:pPr>
      <w:pBdr/>
      <w:spacing w:after="100"/>
      <w:ind w:left="1760"/>
    </w:pPr>
  </w:style>
  <w:style w:type="paragraph" w:styleId="951">
    <w:name w:val="TOC Heading"/>
    <w:uiPriority w:val="39"/>
    <w:unhideWhenUsed/>
    <w:pPr>
      <w:pBdr/>
      <w:spacing/>
      <w:ind/>
    </w:pPr>
  </w:style>
  <w:style w:type="paragraph" w:styleId="952">
    <w:name w:val="table of figures"/>
    <w:basedOn w:val="953"/>
    <w:next w:val="953"/>
    <w:uiPriority w:val="99"/>
    <w:unhideWhenUsed/>
    <w:pPr>
      <w:pBdr/>
      <w:spacing w:after="0" w:afterAutospacing="0"/>
      <w:ind/>
    </w:pPr>
  </w:style>
  <w:style w:type="paragraph" w:styleId="953" w:default="1">
    <w:name w:val="Normal"/>
    <w:next w:val="953"/>
    <w:link w:val="953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4">
    <w:name w:val="Основной шрифт абзаца"/>
    <w:next w:val="954"/>
    <w:link w:val="953"/>
    <w:uiPriority w:val="1"/>
    <w:unhideWhenUsed/>
    <w:pPr>
      <w:pBdr/>
      <w:spacing/>
      <w:ind/>
    </w:pPr>
  </w:style>
  <w:style w:type="table" w:styleId="955">
    <w:name w:val="Обычная таблица"/>
    <w:next w:val="955"/>
    <w:link w:val="953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6">
    <w:name w:val="Нет списка"/>
    <w:next w:val="956"/>
    <w:link w:val="953"/>
    <w:uiPriority w:val="99"/>
    <w:semiHidden/>
    <w:unhideWhenUsed/>
    <w:pPr>
      <w:pBdr/>
      <w:spacing/>
      <w:ind/>
    </w:pPr>
  </w:style>
  <w:style w:type="paragraph" w:styleId="957">
    <w:name w:val="Абзац списка"/>
    <w:basedOn w:val="953"/>
    <w:next w:val="957"/>
    <w:link w:val="953"/>
    <w:uiPriority w:val="34"/>
    <w:qFormat/>
    <w:pPr>
      <w:pBdr/>
      <w:spacing/>
      <w:ind w:left="720"/>
      <w:contextualSpacing w:val="true"/>
    </w:pPr>
  </w:style>
  <w:style w:type="table" w:styleId="958">
    <w:name w:val="Сетка таблицы"/>
    <w:basedOn w:val="955"/>
    <w:next w:val="958"/>
    <w:link w:val="953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9">
    <w:name w:val="ConsPlusNormal"/>
    <w:next w:val="959"/>
    <w:link w:val="953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0">
    <w:name w:val="Верхний колонтитул"/>
    <w:basedOn w:val="953"/>
    <w:next w:val="960"/>
    <w:link w:val="96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1">
    <w:name w:val="Верхний колонтитул Знак"/>
    <w:next w:val="961"/>
    <w:link w:val="960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2">
    <w:name w:val="Нижний колонтитул"/>
    <w:basedOn w:val="953"/>
    <w:next w:val="962"/>
    <w:link w:val="96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3">
    <w:name w:val="Нижний колонтитул Знак"/>
    <w:basedOn w:val="954"/>
    <w:next w:val="963"/>
    <w:link w:val="962"/>
    <w:uiPriority w:val="99"/>
    <w:pPr>
      <w:pBdr/>
      <w:spacing/>
      <w:ind/>
    </w:pPr>
  </w:style>
  <w:style w:type="paragraph" w:styleId="964">
    <w:name w:val="Текст выноски"/>
    <w:basedOn w:val="953"/>
    <w:next w:val="964"/>
    <w:link w:val="965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5">
    <w:name w:val="Текст выноски Знак"/>
    <w:next w:val="965"/>
    <w:link w:val="96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6">
    <w:name w:val="ConsPlusCell"/>
    <w:next w:val="966"/>
    <w:link w:val="953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67">
    <w:name w:val="ConsPlusNonformat"/>
    <w:next w:val="967"/>
    <w:link w:val="953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68">
    <w:name w:val="Гиперссылка"/>
    <w:next w:val="968"/>
    <w:link w:val="953"/>
    <w:uiPriority w:val="99"/>
    <w:unhideWhenUsed/>
    <w:pPr>
      <w:pBdr/>
      <w:spacing/>
      <w:ind/>
    </w:pPr>
    <w:rPr>
      <w:color w:val="0563c1"/>
      <w:u w:val="single"/>
    </w:rPr>
  </w:style>
  <w:style w:type="numbering" w:styleId="969">
    <w:name w:val="Нет списка1"/>
    <w:next w:val="956"/>
    <w:link w:val="953"/>
    <w:uiPriority w:val="99"/>
    <w:semiHidden/>
    <w:unhideWhenUsed/>
    <w:pPr>
      <w:pBdr/>
      <w:spacing/>
      <w:ind/>
    </w:pPr>
  </w:style>
  <w:style w:type="table" w:styleId="970">
    <w:name w:val="Сетка таблицы1"/>
    <w:basedOn w:val="955"/>
    <w:next w:val="958"/>
    <w:link w:val="953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1">
    <w:name w:val="Просмотренная гиперссылка"/>
    <w:next w:val="971"/>
    <w:link w:val="953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2">
    <w:name w:val="xl65"/>
    <w:basedOn w:val="953"/>
    <w:next w:val="972"/>
    <w:link w:val="95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3">
    <w:name w:val="xl66"/>
    <w:basedOn w:val="953"/>
    <w:next w:val="973"/>
    <w:link w:val="953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4">
    <w:name w:val="xl67"/>
    <w:basedOn w:val="953"/>
    <w:next w:val="974"/>
    <w:link w:val="953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5">
    <w:name w:val="xl68"/>
    <w:basedOn w:val="953"/>
    <w:next w:val="975"/>
    <w:link w:val="953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6">
    <w:name w:val="xl69"/>
    <w:basedOn w:val="953"/>
    <w:next w:val="976"/>
    <w:link w:val="953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7">
    <w:name w:val="xl70"/>
    <w:basedOn w:val="953"/>
    <w:next w:val="977"/>
    <w:link w:val="953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71"/>
    <w:basedOn w:val="953"/>
    <w:next w:val="978"/>
    <w:link w:val="95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72"/>
    <w:basedOn w:val="953"/>
    <w:next w:val="979"/>
    <w:link w:val="953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73"/>
    <w:basedOn w:val="953"/>
    <w:next w:val="980"/>
    <w:link w:val="953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74"/>
    <w:basedOn w:val="953"/>
    <w:next w:val="981"/>
    <w:link w:val="95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5"/>
    <w:basedOn w:val="953"/>
    <w:next w:val="982"/>
    <w:link w:val="953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6"/>
    <w:basedOn w:val="953"/>
    <w:next w:val="983"/>
    <w:link w:val="953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7"/>
    <w:basedOn w:val="953"/>
    <w:next w:val="984"/>
    <w:link w:val="953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8"/>
    <w:basedOn w:val="953"/>
    <w:next w:val="985"/>
    <w:link w:val="95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9"/>
    <w:basedOn w:val="953"/>
    <w:next w:val="986"/>
    <w:link w:val="95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87">
    <w:name w:val="Нет списка2"/>
    <w:next w:val="956"/>
    <w:link w:val="953"/>
    <w:uiPriority w:val="99"/>
    <w:semiHidden/>
    <w:unhideWhenUsed/>
    <w:pPr>
      <w:pBdr/>
      <w:spacing/>
      <w:ind/>
    </w:pPr>
  </w:style>
  <w:style w:type="paragraph" w:styleId="988">
    <w:name w:val="xl80"/>
    <w:basedOn w:val="953"/>
    <w:next w:val="988"/>
    <w:link w:val="95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81"/>
    <w:basedOn w:val="953"/>
    <w:next w:val="989"/>
    <w:link w:val="95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0">
    <w:name w:val="xl82"/>
    <w:basedOn w:val="953"/>
    <w:next w:val="990"/>
    <w:link w:val="953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83"/>
    <w:basedOn w:val="953"/>
    <w:next w:val="991"/>
    <w:link w:val="95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2">
    <w:name w:val="xl84"/>
    <w:basedOn w:val="953"/>
    <w:next w:val="992"/>
    <w:link w:val="953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85"/>
    <w:basedOn w:val="953"/>
    <w:next w:val="993"/>
    <w:link w:val="95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6"/>
    <w:basedOn w:val="953"/>
    <w:next w:val="994"/>
    <w:link w:val="953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5">
    <w:name w:val="xl87"/>
    <w:basedOn w:val="953"/>
    <w:next w:val="995"/>
    <w:link w:val="953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8"/>
    <w:basedOn w:val="953"/>
    <w:next w:val="996"/>
    <w:link w:val="95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7">
    <w:name w:val="xl89"/>
    <w:basedOn w:val="953"/>
    <w:next w:val="997"/>
    <w:link w:val="953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90"/>
    <w:basedOn w:val="953"/>
    <w:next w:val="998"/>
    <w:link w:val="953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91"/>
    <w:basedOn w:val="953"/>
    <w:next w:val="999"/>
    <w:link w:val="953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92"/>
    <w:basedOn w:val="953"/>
    <w:next w:val="1000"/>
    <w:link w:val="95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93"/>
    <w:basedOn w:val="953"/>
    <w:next w:val="1001"/>
    <w:link w:val="95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94"/>
    <w:basedOn w:val="953"/>
    <w:next w:val="1002"/>
    <w:link w:val="953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5"/>
    <w:basedOn w:val="953"/>
    <w:next w:val="1003"/>
    <w:link w:val="953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6"/>
    <w:basedOn w:val="953"/>
    <w:next w:val="1004"/>
    <w:link w:val="953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7"/>
    <w:basedOn w:val="953"/>
    <w:next w:val="1005"/>
    <w:link w:val="953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8"/>
    <w:basedOn w:val="953"/>
    <w:next w:val="1006"/>
    <w:link w:val="953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9"/>
    <w:basedOn w:val="953"/>
    <w:next w:val="1007"/>
    <w:link w:val="953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100"/>
    <w:basedOn w:val="953"/>
    <w:next w:val="1008"/>
    <w:link w:val="953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101"/>
    <w:basedOn w:val="953"/>
    <w:next w:val="1009"/>
    <w:link w:val="953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102"/>
    <w:basedOn w:val="953"/>
    <w:next w:val="1010"/>
    <w:link w:val="953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1">
    <w:name w:val="Нет списка3"/>
    <w:next w:val="956"/>
    <w:link w:val="953"/>
    <w:uiPriority w:val="99"/>
    <w:semiHidden/>
    <w:unhideWhenUsed/>
    <w:pPr>
      <w:pBdr/>
      <w:spacing/>
      <w:ind/>
    </w:pPr>
  </w:style>
  <w:style w:type="table" w:styleId="1012">
    <w:name w:val="Сетка таблицы2"/>
    <w:basedOn w:val="955"/>
    <w:next w:val="958"/>
    <w:link w:val="953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3">
    <w:name w:val="Нет списка11"/>
    <w:next w:val="956"/>
    <w:link w:val="953"/>
    <w:uiPriority w:val="99"/>
    <w:semiHidden/>
    <w:unhideWhenUsed/>
    <w:pPr>
      <w:pBdr/>
      <w:spacing/>
      <w:ind/>
    </w:pPr>
  </w:style>
  <w:style w:type="table" w:styleId="1014">
    <w:name w:val="Сетка таблицы11"/>
    <w:basedOn w:val="955"/>
    <w:next w:val="958"/>
    <w:link w:val="953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5">
    <w:name w:val="Нет списка21"/>
    <w:next w:val="956"/>
    <w:link w:val="953"/>
    <w:uiPriority w:val="99"/>
    <w:semiHidden/>
    <w:unhideWhenUsed/>
    <w:pPr>
      <w:pBdr/>
      <w:spacing/>
      <w:ind/>
    </w:pPr>
  </w:style>
  <w:style w:type="paragraph" w:styleId="1016">
    <w:name w:val="msonormal"/>
    <w:basedOn w:val="953"/>
    <w:next w:val="1016"/>
    <w:link w:val="95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7">
    <w:name w:val="xl64"/>
    <w:basedOn w:val="953"/>
    <w:next w:val="1017"/>
    <w:link w:val="95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8">
    <w:name w:val="xl103"/>
    <w:basedOn w:val="953"/>
    <w:next w:val="1018"/>
    <w:link w:val="95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9">
    <w:name w:val="xl104"/>
    <w:basedOn w:val="953"/>
    <w:next w:val="1019"/>
    <w:link w:val="953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0">
    <w:name w:val="xl105"/>
    <w:basedOn w:val="953"/>
    <w:next w:val="1020"/>
    <w:link w:val="953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1">
    <w:name w:val="xl106"/>
    <w:basedOn w:val="953"/>
    <w:next w:val="1021"/>
    <w:link w:val="95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2">
    <w:name w:val="xl107"/>
    <w:basedOn w:val="953"/>
    <w:next w:val="1022"/>
    <w:link w:val="95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3">
    <w:name w:val="xl108"/>
    <w:basedOn w:val="953"/>
    <w:next w:val="1023"/>
    <w:link w:val="95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9"/>
    <w:basedOn w:val="953"/>
    <w:next w:val="1024"/>
    <w:link w:val="953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10"/>
    <w:basedOn w:val="953"/>
    <w:next w:val="1025"/>
    <w:link w:val="953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11"/>
    <w:basedOn w:val="953"/>
    <w:next w:val="1026"/>
    <w:link w:val="953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12"/>
    <w:basedOn w:val="953"/>
    <w:next w:val="1027"/>
    <w:link w:val="953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13"/>
    <w:basedOn w:val="953"/>
    <w:next w:val="1028"/>
    <w:link w:val="953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14"/>
    <w:basedOn w:val="953"/>
    <w:next w:val="1029"/>
    <w:link w:val="953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5"/>
    <w:basedOn w:val="953"/>
    <w:next w:val="1030"/>
    <w:link w:val="953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6"/>
    <w:basedOn w:val="953"/>
    <w:next w:val="1031"/>
    <w:link w:val="953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7"/>
    <w:basedOn w:val="953"/>
    <w:next w:val="1032"/>
    <w:link w:val="953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8"/>
    <w:basedOn w:val="953"/>
    <w:next w:val="1033"/>
    <w:link w:val="953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9"/>
    <w:basedOn w:val="953"/>
    <w:next w:val="1034"/>
    <w:link w:val="953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20"/>
    <w:basedOn w:val="953"/>
    <w:next w:val="1035"/>
    <w:link w:val="953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21"/>
    <w:basedOn w:val="953"/>
    <w:next w:val="1036"/>
    <w:link w:val="953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22"/>
    <w:basedOn w:val="953"/>
    <w:next w:val="1037"/>
    <w:link w:val="953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23"/>
    <w:basedOn w:val="953"/>
    <w:next w:val="1038"/>
    <w:link w:val="95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24"/>
    <w:basedOn w:val="953"/>
    <w:next w:val="1039"/>
    <w:link w:val="95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5"/>
    <w:basedOn w:val="953"/>
    <w:next w:val="1040"/>
    <w:link w:val="95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6"/>
    <w:basedOn w:val="953"/>
    <w:next w:val="1041"/>
    <w:link w:val="953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7"/>
    <w:basedOn w:val="953"/>
    <w:next w:val="1042"/>
    <w:link w:val="953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8"/>
    <w:basedOn w:val="953"/>
    <w:next w:val="1043"/>
    <w:link w:val="953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9"/>
    <w:basedOn w:val="953"/>
    <w:next w:val="1044"/>
    <w:link w:val="953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30"/>
    <w:basedOn w:val="953"/>
    <w:next w:val="1045"/>
    <w:link w:val="953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31"/>
    <w:basedOn w:val="953"/>
    <w:next w:val="1046"/>
    <w:link w:val="953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32"/>
    <w:basedOn w:val="953"/>
    <w:next w:val="1047"/>
    <w:link w:val="953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33"/>
    <w:basedOn w:val="953"/>
    <w:next w:val="1048"/>
    <w:link w:val="953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49">
    <w:name w:val="Неразрешенное упоминание"/>
    <w:next w:val="1049"/>
    <w:link w:val="95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0">
    <w:name w:val="Обычный (веб)"/>
    <w:basedOn w:val="953"/>
    <w:next w:val="1050"/>
    <w:link w:val="953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51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646</cp:revision>
  <dcterms:created xsi:type="dcterms:W3CDTF">2016-09-30T12:20:00Z</dcterms:created>
  <dcterms:modified xsi:type="dcterms:W3CDTF">2025-06-17T09:56:28Z</dcterms:modified>
  <cp:version>1048576</cp:version>
</cp:coreProperties>
</file>