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before="0" w:beforeAutospacing="0" w:line="240" w:lineRule="auto"/>
        <w:ind w:left="142"/>
        <w:jc w:val="right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г. Казань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«___» _______ 2025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  <w:t xml:space="preserve">№ ___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4253"/>
          <w:tab w:val="left" w:leader="none" w:pos="4536"/>
        </w:tabs>
        <w:spacing w:after="0" w:before="0" w:beforeAutospacing="0" w:line="240" w:lineRule="auto"/>
        <w:ind w:right="4961" w:left="142"/>
        <w:jc w:val="both"/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w:bookmarkStart w:id="0" w:name="_Hlk10799341"/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 порядке расчета нормативных затрат на предоставление услуги «Оказание помощи в организации социальной занятости» и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подушевого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 норматива финансирования </w:t>
      </w:r>
      <w:bookmarkStart w:id="1" w:name="_Hlk127345504"/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на предоставление услуги «Оказание помощи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в  организации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 социальной занятости» </w:t>
      </w:r>
      <w:bookmarkEnd w:id="1"/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и утверждении нормативных затрат на предоставление услуги «Оказание помощи в организации социальной занятости» и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подушевого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 норматива финансирования на предоставление услуги «Оказание помощи в организации социальной занятости» на 2025 год</w:t>
      </w:r>
      <w:bookmarkEnd w:id="0"/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20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1276"/>
        </w:tabs>
        <w:spacing w:after="0" w:before="0" w:beforeAutospacing="0" w:line="240" w:lineRule="auto"/>
        <w:ind w:firstLine="720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В целях реализации Концепции комплексного сопровождения людей с расстройствами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аутистического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спектра и другими ментальным нарушениями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в Республике Татарстан на 2022 – 2026 годы и п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риказа Министерства труда и социальной защиты Российской Федерации от 28.07.2023 № 605н «Об утверждении примерного порядка организации социальной занятости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инвалидов»  Кабинет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Министров Республики Татарстан постановляет: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709" w:left="142"/>
        <w:jc w:val="both"/>
        <w:outlineLvl w:val="0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1. Утвердить прилагаемые: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709" w:left="142"/>
        <w:jc w:val="both"/>
        <w:outlineLvl w:val="0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Порядок расчета нормативных затрат на предоставление услуги «Оказание помощи в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 организации социальной занятости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» 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подушевого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норматива финансирования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709" w:left="142"/>
        <w:jc w:val="both"/>
        <w:outlineLvl w:val="0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нормативные затраты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подушевой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норматив финансирования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на 2025 год.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2. Контроль за исполнением настоящего постановления возложить на Министерство труда, занятости и социальной защиты Республики Татарстан.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left="142"/>
        <w:jc w:val="both"/>
        <w:outlineLvl w:val="0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tabs>
          <w:tab w:val="left" w:leader="none" w:pos="709"/>
          <w:tab w:val="left" w:leader="none" w:pos="1276"/>
        </w:tabs>
        <w:spacing w:after="0" w:before="0" w:beforeAutospacing="0" w:line="240" w:lineRule="auto"/>
        <w:ind w:left="142"/>
        <w:jc w:val="both"/>
        <w:outlineLvl w:val="0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ab/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А.В.Песошин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709"/>
          <w:tab w:val="left" w:leader="none" w:pos="1276"/>
        </w:tabs>
        <w:spacing w:after="0" w:before="0" w:beforeAutospacing="0" w:line="240" w:lineRule="auto"/>
        <w:ind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849" w:bottom="397" w:left="1134" w:header="510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6946" w:left="142"/>
        <w:jc w:val="both"/>
        <w:outlineLvl w:val="0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Утверждено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6946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6946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Кабинета Министров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6946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6946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от _______ 2025 № __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both"/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Порядок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расчета нормативных затрат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 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подушевого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норматива финансирования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center"/>
        <w:outlineLvl w:val="0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. Общие положения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1.1. Настоящий Порядок определяет механизм формирования расходов на предоставление </w:t>
      </w:r>
      <w:bookmarkStart w:id="2" w:name="_Hlk138687830"/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» </w:t>
      </w:r>
      <w:bookmarkEnd w:id="2"/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в соответствии с Порядком и условием реализации пилотного проекта «Организация содействия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людей с расстройствами аутистического спектра и другими ментальными нарушениями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» в 202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-2026 годах, утвержденными постановлением Кабинета Министров Республики Татарстан о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т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05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.0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7.2025 № 486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 </w:t>
      </w:r>
      <w:bookmarkStart w:id="3" w:name="_Hlk124515680"/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О реализации пилотного проекта «Организация содействия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людей с расстройствами аутистического спектра и другими ментальными нарушениями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» в 202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-202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6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 годах» </w:t>
      </w:r>
      <w:bookmarkEnd w:id="3"/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(да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лее – постановление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т 05.07.2025 № 48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6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).</w:t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1.2. Нормативные затраты </w:t>
      </w:r>
      <w:bookmarkStart w:id="4" w:name="_Hlk124425705"/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на предоставление </w:t>
      </w:r>
      <w:bookmarkEnd w:id="4"/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услуги «Оказание помо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» представляют собой объем финансовых средств, необходимых для оказания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» в соответствии с установленными законодательством требованиями.</w:t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1.3. 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Подушевой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норматив финансирования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 представляет собой объем финансовых средств, рассчитанный на основе нормативных затрат на оказание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 необходимых для оказания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 в соответствии с установленными законодательством требованиями.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1.4. Расчет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подушевого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норматива финансирования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 осуществляется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 один раз в год при формировании проекта бюджета Республики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Татарстан на очередной финансовый год и на плановый период для утверждения тарифа на услугу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». Тариф на услугу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 применяется для финансирования поставщика социальных услуг в рамках реализации Порядка и условий реализации пилотного проекта «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Организация содействия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людей с расстройствами аутистического спектра и другими мент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альными нарушениями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» в 202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-2026 годах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», утвержденного постановлением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от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05.07.2025 № 486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1.5. Настоящий Порядок определяет порядок расчета нормативных затрат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 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подушевых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нормативов финансирования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 </w:t>
      </w:r>
      <w:bookmarkStart w:id="5" w:name="_Hlk138690980"/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в рамках социально-трудовых услуг.</w:t>
      </w:r>
      <w:bookmarkEnd w:id="5"/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1.6. Нормативные затраты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одушевой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норматив финансирования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 устанавливаются за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один час предоставления услуги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center"/>
        <w:outlineLvl w:val="0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en-US" w:eastAsia="ru-RU"/>
        </w:rPr>
        <w:t xml:space="preserve">II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. Порядок расчета нормативных затрат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на предоставление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709" w:left="142"/>
        <w:jc w:val="center"/>
        <w:outlineLvl w:val="0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709" w:left="142"/>
        <w:outlineLvl w:val="0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2.1. Нормативные затраты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 </w:t>
      </w:r>
      <m:oMath>
        <m:r>
          <w:rPr>
            <w:rFonts w:ascii="Times New Roman" w:hAnsi="Times New Roman" w:eastAsia="Times New Roman"/>
            <w:color w:val="auto"/>
            <w:sz w:val="28"/>
            <w:szCs w:val="28"/>
            <w:highlight w:val="none"/>
            <w:lang w:eastAsia="ru-RU"/>
          </w:rPr>
          <m:rPr>
            <m:nor m:val="on"/>
          </m:rPr>
          <m:t>(</m:t>
        </m:r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  <m:rPr>
                <m:nor m:val="on"/>
              </m:rPr>
              <m:t>NFZ</m:t>
            </m:r>
          </m:e>
          <m:sub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op</m:t>
            </m:r>
            <m:r>
              <w:rPr>
                <w:rFonts w:ascii="Cambria Math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z</m:t>
            </m:r>
          </m:sub>
        </m:sSub>
        <m:r>
          <w:rPr>
            <w:rFonts w:ascii="Times New Roman" w:hAnsi="Times New Roman" w:eastAsia="Times New Roman"/>
            <w:color w:val="auto"/>
            <w:sz w:val="28"/>
            <w:szCs w:val="28"/>
            <w:highlight w:val="none"/>
          </w:rPr>
          <m:rPr>
            <m:nor m:val="on"/>
          </m:rPr>
          <m:t>)</m:t>
        </m:r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за один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ча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с</w:t>
      </w:r>
      <w:bookmarkStart w:id="6" w:name="_GoBack"/>
      <w:r>
        <w:rPr>
          <w:color w:val="auto"/>
          <w:highlight w:val="none"/>
        </w:rPr>
      </w:r>
      <w:bookmarkEnd w:id="6"/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определяются по формуле: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Para>
        <m:oMathParaPr/>
        <m:oMath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sSubPr>
            <m:e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NFZ</m:t>
              </m:r>
            </m:e>
            <m:sub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op</m:t>
              </m:r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z</m:t>
              </m:r>
            </m:sub>
          </m:sSub>
          <m:r>
            <w:rPr>
              <w:rFonts w:ascii="Times New Roman" w:hAnsi="Times New Roman" w:eastAsia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 = </m:t>
          </m:r>
          <m:f>
            <m:f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fPr>
            <m:num>
              <m:r>
                <w:rPr>
                  <w:rFonts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(</m:t>
              </m:r>
              <m:sSub>
                <m:sSubPr>
                  <m:ctrlP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</w:rPr>
                  </m:ctrlPr>
                </m:sSubPr>
                <m:e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R</m:t>
                  </m:r>
                </m:e>
                <m:sub>
                  <m:sSub>
                    <m:sSubPr>
                      <m:ctrlPr>
                        <w:rPr>
                          <w:rFonts w:hint="default" w:ascii="Cambria Math" w:hAnsi="Cambria Math" w:eastAsia="Cambria Math" w:cs="Cambria Math"/>
                          <w:color w:val="auto"/>
                          <w:sz w:val="28"/>
                          <w:szCs w:val="28"/>
                          <w:highlight w:val="none"/>
                        </w:rPr>
                      </m:ctrlPr>
                    </m:sSubPr>
                    <m:e>
                      <m:r>
                        <w:rPr>
                          <w:rFonts w:ascii="Times New Roman" w:hAnsi="Times New Roman" w:eastAsia="Times New Roman"/>
                          <w:color w:val="auto"/>
                          <w:sz w:val="28"/>
                          <w:szCs w:val="28"/>
                          <w:highlight w:val="none"/>
                          <w:lang w:val="en-US"/>
                        </w:rPr>
                        <m:rPr>
                          <m:nor m:val="on"/>
                        </m:rPr>
                        <m:t>FOT</m:t>
                      </m:r>
                    </m:e>
                    <m:sub>
                      <m:r>
                        <w:rPr>
                          <w:rFonts w:ascii="Cambria Math" w:hAnsi="Cambria Math" w:eastAsia="Cambria Math" w:cs="Cambria Math"/>
                          <w:color w:val="auto"/>
                          <w:sz w:val="28"/>
                          <w:szCs w:val="28"/>
                          <w:highlight w:val="none"/>
                          <w:lang w:val="en-US"/>
                        </w:rPr>
                        <m:rPr>
                          <m:sty m:val="p"/>
                        </m:rPr>
                        <m:t>str</m:t>
                      </m:r>
                    </m:sub>
                  </m:sSub>
                </m:sub>
              </m:sSub>
              <m:r>
                <w:rPr>
                  <w:rFonts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+</m:t>
              </m:r>
              <m:sSub>
                <m:sSubPr>
                  <m:ctrlP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R</m:t>
                  </m:r>
                </m:e>
                <m:sub>
                  <m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tov</m:t>
                  </m:r>
                </m:sub>
              </m:sSub>
              <m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+</m:t>
              </m:r>
              <m:sSub>
                <m:sSubPr>
                  <m:ctrlP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R</m:t>
                  </m:r>
                </m:e>
                <m:sub>
                  <m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pr</m:t>
                  </m:r>
                </m:sub>
              </m:sSub>
              <m:r>
                <w:rPr>
                  <w:rFonts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+К</m:t>
              </m:r>
              <m:r>
                <w:rPr>
                  <w:rFonts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)</m:t>
              </m:r>
            </m:num>
            <m:den>
              <m:sSub>
                <m:sSubPr>
                  <m:ctrlP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</w:rPr>
                  </m:ctrlPr>
                </m:sSubPr>
                <m:e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(D</m:t>
                  </m:r>
                </m:e>
                <m:sub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g</m:t>
                  </m:r>
                </m:sub>
              </m:sSub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×</m:t>
              </m:r>
              <m:sSub>
                <m:sSubPr>
                  <m:ctrlP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</w:rPr>
                  </m:ctrlPr>
                </m:sSubPr>
                <m:e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N</m:t>
                  </m:r>
                </m:e>
                <m:sub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opz</m:t>
                  </m:r>
                </m:sub>
              </m:sSub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×</m:t>
              </m:r>
              <m:sSub>
                <m:sSubPr>
                  <m:ctrlP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</w:rPr>
                  </m:ctrlPr>
                </m:sSubPr>
                <m:e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V</m:t>
                  </m:r>
                </m:e>
                <m:sub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d</m:t>
                  </m:r>
                </m:sub>
              </m:sSub>
              <m:r>
                <w:rPr>
                  <w:rFonts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)</m:t>
              </m:r>
            </m:den>
          </m:f>
          <m:r>
            <w:rPr>
              <w:rFonts w:ascii="Times New Roman" w:hAnsi="Times New Roman" w:eastAsia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,</m:t>
          </m:r>
        </m:oMath>
      </m:oMathPara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  <w:lang w:val="en-US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где: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R</m:t>
            </m:r>
          </m:e>
          <m:sub>
            <m:sSub>
              <m:sSubPr>
                <m:ctrlPr>
                  <w:rPr>
                    <w:rFonts w:hint="default" w:ascii="Cambria Math" w:hAnsi="Cambria Math" w:eastAsia="Cambria Math" w:cs="Cambria Math"/>
                    <w:color w:val="auto"/>
                    <w:sz w:val="28"/>
                    <w:szCs w:val="28"/>
                    <w:highlight w:val="none"/>
                  </w:rPr>
                </m:ctrlPr>
              </m:sSubPr>
              <m:e>
                <m:r>
                  <w:rPr>
                    <w:rFonts w:ascii="Times New Roman" w:hAnsi="Times New Roman" w:eastAsia="Times New Roman"/>
                    <w:color w:val="auto"/>
                    <w:sz w:val="28"/>
                    <w:szCs w:val="28"/>
                    <w:highlight w:val="none"/>
                    <w:lang w:val="en-US"/>
                  </w:rPr>
                  <m:rPr>
                    <m:nor m:val="on"/>
                  </m:rPr>
                  <m:t>FOT</m:t>
                </m:r>
              </m:e>
              <m:sub>
                <m:r>
                  <w:rPr>
                    <w:rFonts w:ascii="Cambria Math" w:hAnsi="Cambria Math" w:eastAsia="Cambria Math" w:cs="Cambria Math"/>
                    <w:color w:val="auto"/>
                    <w:sz w:val="28"/>
                    <w:szCs w:val="28"/>
                    <w:highlight w:val="none"/>
                    <w:lang w:val="en-US"/>
                  </w:rPr>
                  <m:rPr>
                    <m:sty m:val="p"/>
                  </m:rPr>
                  <m:t>str</m:t>
                </m:r>
              </m:sub>
            </m:sSub>
          </m:sub>
        </m:sSub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 стандартная (базовая) стоимость услуг персонала,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оказывающего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в рамках социально-трудовых услуг;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709" w:left="142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R</m:t>
            </m:r>
          </m:e>
          <m:sub>
            <m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tov</m:t>
            </m:r>
          </m:sub>
        </m:sSub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расходы на обеспечение услугами связи;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709" w:left="142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R</m:t>
            </m:r>
          </m:e>
          <m:sub>
            <m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pr</m:t>
            </m:r>
          </m:sub>
        </m:sSub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прочие текущие расходы;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  <w:lang w:val="en-US"/>
        </w:rPr>
        <w:t xml:space="preserve">K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–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расходы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на коммунальные услуги;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eastAsia="ru-RU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eastAsia="ru-RU"/>
              </w:rPr>
              <m:rPr>
                <m:nor m:val="on"/>
              </m:rPr>
              <m:t>D</m:t>
            </m:r>
          </m:e>
          <m:sub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eastAsia="ru-RU"/>
              </w:rPr>
              <m:rPr>
                <m:nor m:val="on"/>
              </m:rPr>
              <m:t>g</m:t>
            </m:r>
          </m:sub>
        </m:sSub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– количеств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дней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в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году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предоставления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принимаемое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рав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ным 244;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  <m:rPr>
                <m:nor m:val="on"/>
              </m:rPr>
              <m:t>N</m:t>
            </m:r>
          </m:e>
          <m:sub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op</m:t>
            </m:r>
            <m:r>
              <w:rPr>
                <w:rFonts w:ascii="Cambria Math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z</m:t>
            </m:r>
          </m:sub>
        </m:sSub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–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нормативное количество получателей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и», принимаемое равным 10;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  <m:rPr>
                <m:nor m:val="on"/>
              </m:rPr>
              <m:t>V</m:t>
            </m:r>
          </m:e>
          <m:sub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d</m:t>
            </m:r>
          </m:sub>
        </m:sSub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– продолжительность времени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предоставления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в день,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принимаемое равным 8 часам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2.2. Расчет стандартной (базовой) стоимости услуг персонала, оказывающего </w:t>
      </w:r>
      <w:bookmarkStart w:id="7" w:name="_Hlk138691913"/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в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рамках социально-трудовых услуг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bookmarkEnd w:id="7"/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(</w:t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R</m:t>
            </m:r>
          </m:e>
          <m:sub>
            <m:sSub>
              <m:sSubPr>
                <m:ctrlPr>
                  <w:rPr>
                    <w:rFonts w:hint="default" w:ascii="Cambria Math" w:hAnsi="Cambria Math" w:eastAsia="Cambria Math" w:cs="Cambria Math"/>
                    <w:color w:val="auto"/>
                    <w:sz w:val="28"/>
                    <w:szCs w:val="28"/>
                    <w:highlight w:val="none"/>
                  </w:rPr>
                </m:ctrlPr>
              </m:sSubPr>
              <m:e>
                <m:r>
                  <w:rPr>
                    <w:rFonts w:ascii="Times New Roman" w:hAnsi="Times New Roman" w:eastAsia="Times New Roman"/>
                    <w:color w:val="auto"/>
                    <w:sz w:val="28"/>
                    <w:szCs w:val="28"/>
                    <w:highlight w:val="none"/>
                    <w:lang w:val="en-US"/>
                  </w:rPr>
                  <m:rPr>
                    <m:nor m:val="on"/>
                  </m:rPr>
                  <m:t>FOT</m:t>
                </m:r>
              </m:e>
              <m:sub>
                <m:r>
                  <w:rPr>
                    <w:rFonts w:ascii="Cambria Math" w:hAnsi="Cambria Math" w:eastAsia="Cambria Math" w:cs="Cambria Math"/>
                    <w:color w:val="auto"/>
                    <w:sz w:val="28"/>
                    <w:szCs w:val="28"/>
                    <w:highlight w:val="none"/>
                    <w:lang w:val="en-US"/>
                  </w:rPr>
                  <m:rPr>
                    <m:sty m:val="p"/>
                  </m:rPr>
                  <m:t>str</m:t>
                </m:r>
              </m:sub>
            </m:sSub>
          </m:sub>
        </m:sSub>
        <m:r>
          <w:rPr>
            <w:rFonts w:ascii="Times New Roman" w:hAnsi="Times New Roman" w:eastAsia="Times New Roman"/>
            <w:color w:val="auto"/>
            <w:sz w:val="28"/>
            <w:szCs w:val="28"/>
            <w:highlight w:val="none"/>
          </w:rPr>
          <m:rPr>
            <m:nor m:val="on"/>
          </m:rPr>
          <m:t>)</m:t>
        </m:r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, определяется по формуле: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Para>
        <m:oMathParaPr/>
        <m:oMath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sSubPr>
            <m:e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R</m:t>
              </m:r>
            </m:e>
            <m:sub>
              <m:sSub>
                <m:sSubPr>
                  <m:ctrlP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</w:rPr>
                  </m:ctrlPr>
                </m:sSubPr>
                <m:e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FOT</m:t>
                  </m:r>
                </m:e>
                <m:sub>
                  <m:r>
                    <w:rPr>
                      <w:rFonts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sty m:val="p"/>
                    </m:rPr>
                    <m:t>str</m:t>
                  </m:r>
                </m:sub>
              </m:sSub>
            </m:sub>
          </m:sSub>
          <m:r>
            <w:rPr>
              <w:rFonts w:ascii="Times New Roman" w:hAnsi="Times New Roman" w:eastAsia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=</m:t>
          </m:r>
          <m:nary>
            <m:naryPr>
              <m:chr m:val="∑"/>
              <m:grow m:val="off"/>
              <m:limLoc m:val="undOvr"/>
              <m:subHide m:val="on"/>
              <m:supHide m:val="on"/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</w:rPr>
                  </m:ctrlPr>
                </m:sSubPr>
                <m:e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N</m:t>
                  </m:r>
                </m:e>
                <m:sub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pop</m:t>
                  </m:r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z</m:t>
                  </m:r>
                </m:sub>
              </m:sSub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×</m:t>
              </m:r>
              <m:sSub>
                <m:sSubPr>
                  <m:ctrlP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</w:rPr>
                  </m:ctrlPr>
                </m:sSubPr>
                <m:e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O</m:t>
                  </m:r>
                </m:e>
                <m:sub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str</m:t>
                  </m:r>
                </m:sub>
              </m:sSub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×12+e</m:t>
              </m:r>
            </m:e>
          </m:nary>
          <m:r>
            <w:rPr>
              <w:rFonts w:ascii="Times New Roman" w:hAnsi="Times New Roman" w:eastAsia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,</m:t>
          </m:r>
        </m:oMath>
      </m:oMathPara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  <w:lang w:val="en-US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где: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  <m:rPr>
                <m:nor m:val="on"/>
              </m:rPr>
              <m:t>N</m:t>
            </m:r>
          </m:e>
          <m:sub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popz</m:t>
            </m:r>
          </m:sub>
        </m:sSub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нормативное количество штатной численности основного персонала, оказывающего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», принимаемое равным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  <m:rPr>
                <m:nor m:val="on"/>
              </m:rPr>
              <m:t>O</m:t>
            </m:r>
          </m:e>
          <m:sub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  <m:rPr>
                <m:nor m:val="on"/>
              </m:rPr>
              <m:t>s</m:t>
            </m:r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tr</m:t>
            </m:r>
          </m:sub>
        </m:sSub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расходы на оплату труда основного персонала, оказывающего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в рамках социально-трудовых услуг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, рассчитываемые в соо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тветствии с постановлением Кабинета Министров Республики Татарстан от 01.08.2012 № 653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12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количество месяцев в году;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e – расходы на начисления на выплаты по оплате труда.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709" w:left="142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2.3. Расходы на обеспечение услугами связи (</w:t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R</m:t>
            </m:r>
          </m:e>
          <m:sub>
            <m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sv</m:t>
            </m:r>
          </m:sub>
        </m:sSub>
        <m:r>
          <w:rPr>
            <w:rFonts w:ascii="Cambria Math" w:hAnsi="Cambria Math" w:eastAsia="Cambria Math" w:cs="Cambria Math"/>
            <w:color w:val="auto"/>
            <w:sz w:val="28"/>
            <w:szCs w:val="28"/>
            <w:highlight w:val="none"/>
          </w:rPr>
          <m:rPr/>
          <m:t>) </m:t>
        </m:r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определяются по формуле: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709" w:left="142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Para>
        <m:oMathParaPr/>
        <m:oMath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sSubPr>
            <m:e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R</m:t>
              </m:r>
            </m:e>
            <m:sub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sv</m:t>
              </m:r>
            </m:sub>
          </m:sSub>
          <m:r>
            <w:rPr>
              <w:rFonts w:ascii="Times New Roman" w:hAnsi="Times New Roman" w:eastAsia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=</m:t>
          </m:r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 w:eastAsia="en-US"/>
                </w:rPr>
              </m:ctrlPr>
            </m:sSubPr>
            <m:e>
              <m:r>
                <w:rPr>
                  <w:rFonts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N</m:t>
              </m:r>
            </m:e>
            <m:sub>
              <m:r>
                <w:rPr>
                  <w:rFonts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sv</m:t>
              </m:r>
            </m:sub>
          </m:sSub>
          <m:r>
            <w:rPr>
              <w:rFonts w:ascii="Times New Roman" w:hAnsi="Times New Roman" w:eastAsia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×</m:t>
          </m:r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 w:eastAsia="en-US"/>
                </w:rPr>
              </m:ctrlPr>
            </m:sSubPr>
            <m:e>
              <m:r>
                <w:rPr>
                  <w:rFonts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C</m:t>
              </m:r>
            </m:e>
            <m:sub>
              <m:r>
                <w:rPr>
                  <w:rFonts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sv</m:t>
              </m:r>
            </m:sub>
          </m:sSub>
          <m:r>
            <w:rPr>
              <w:rFonts w:ascii="Cambria Math" w:hAnsi="Cambria Math" w:eastAsia="Cambria Math" w:cs="Cambria Math"/>
              <w:color w:val="auto"/>
              <w:sz w:val="28"/>
              <w:szCs w:val="28"/>
              <w:highlight w:val="none"/>
              <w:lang w:eastAsia="en-US"/>
            </w:rPr>
            <m:rPr/>
            <m:t> </m:t>
          </m:r>
          <m:r>
            <w:rPr>
              <w:rFonts w:ascii="Times New Roman" w:hAnsi="Times New Roman" w:eastAsia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×</m:t>
          </m:r>
          <m:r>
            <w:rPr>
              <w:rFonts w:ascii="Times New Roman" w:hAnsi="Times New Roman" w:eastAsia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12+</m:t>
          </m:r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 w:eastAsia="en-US"/>
                </w:rPr>
              </m:ctrlPr>
            </m:sSubPr>
            <m:e>
              <m:r>
                <w:rPr>
                  <w:rFonts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C</m:t>
              </m:r>
            </m:e>
            <m:sub>
              <m:r>
                <w:rPr>
                  <w:rFonts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si</m:t>
              </m:r>
            </m:sub>
          </m:sSub>
          <m:r>
            <w:rPr>
              <w:rFonts w:ascii="Times New Roman" w:hAnsi="Times New Roman" w:eastAsia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,</m:t>
          </m:r>
        </m:oMath>
      </m:oMathPara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709" w:left="142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709" w:left="142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709" w:left="142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 w:eastAsia="en-US"/>
              </w:rPr>
            </m:ctrlPr>
          </m:sSubPr>
          <m:e>
            <m:r>
              <w:rPr>
                <w:rFonts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N</m:t>
            </m:r>
          </m:e>
          <m:sub>
            <m:r>
              <w:rPr>
                <w:rFonts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sv</m:t>
            </m:r>
          </m:sub>
        </m:sSub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норма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предоставления услуг связи в организации социального обслуживания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, оказывающей услугу «Оказание помощи в </w:t>
      </w:r>
      <w:r>
        <w:rPr>
          <w:rFonts w:ascii="Times New Roman" w:hAnsi="Times New Roman" w:cs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и», принимается равной одному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абонентскому номеру для передачи голосовой информации с абонентской платой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709" w:left="142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 w:eastAsia="en-US"/>
              </w:rPr>
            </m:ctrlPr>
          </m:sSubPr>
          <m:e>
            <m:r>
              <w:rPr>
                <w:rFonts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C</m:t>
            </m:r>
          </m:e>
          <m:sub>
            <m:r>
              <w:rPr>
                <w:rFonts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sv</m:t>
            </m:r>
          </m:sub>
        </m:sSub>
        <m:r>
          <w:rPr>
            <w:rFonts w:ascii="Cambria Math" w:hAnsi="Cambria Math" w:eastAsia="Cambria Math" w:cs="Cambria Math"/>
            <w:color w:val="auto"/>
            <w:sz w:val="28"/>
            <w:szCs w:val="28"/>
            <w:highlight w:val="none"/>
            <w:lang w:eastAsia="en-US"/>
          </w:rPr>
          <m:rPr/>
          <m:t> </m:t>
        </m:r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</w:rPr>
          <m:rPr/>
          <m:t>–</m:t>
        </m:r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стоимость услуг связи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месяц, принимаемая согласно среднерыночной стоимости услуг по состоянию на 1 сентября года, предшествующего плановому, с учетом индексов-дефляторов, применяемых при формировании бюджета Республики Татарстан на очередной финансовый год.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 w:eastAsia="en-US"/>
              </w:rPr>
            </m:ctrlPr>
          </m:sSubPr>
          <m:e>
            <m:r>
              <w:rPr>
                <w:rFonts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C</m:t>
            </m:r>
          </m:e>
          <m:sub>
            <m:r>
              <w:rPr>
                <w:rFonts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si</m:t>
            </m:r>
          </m:sub>
        </m:sSub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– расходы на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информационно-телекоммуникационную сеть «Интернет»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в год.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2.4. Прочие текущие расходы (</w:t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R</m:t>
            </m:r>
          </m:e>
          <m:sub>
            <m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pr</m:t>
            </m:r>
          </m:sub>
        </m:sSub>
        <m:r>
          <w:rPr>
            <w:rFonts w:ascii="Cambria Math" w:hAnsi="Cambria Math" w:eastAsia="Cambria Math" w:cs="Cambria Math"/>
            <w:color w:val="auto"/>
            <w:sz w:val="28"/>
            <w:szCs w:val="28"/>
            <w:highlight w:val="none"/>
          </w:rPr>
          <m:rPr/>
          <m:t>)</m:t>
        </m:r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bookmarkStart w:id="9" w:name="_Hlk139377832"/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определяются по формуле</w:t>
      </w:r>
      <w:bookmarkEnd w:id="9"/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Para>
        <m:oMathParaPr/>
        <m:oMath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sSubPr>
            <m:e>
              <m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R</m:t>
              </m:r>
            </m:e>
            <m:sub>
              <m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pr</m:t>
              </m:r>
            </m:sub>
          </m:sSub>
          <m:r>
            <w:rPr>
              <w:rFonts w:ascii="Times New Roman" w:hAnsi="Times New Roman" w:cs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 = (</m:t>
          </m:r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sSubPr>
            <m:e>
              <m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R</m:t>
              </m:r>
            </m:e>
            <m:sub>
              <m:sSub>
                <m:sSubPr>
                  <m:ctrlP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</w:rPr>
                  </m:ctrlPr>
                </m:sSubPr>
                <m:e>
                  <m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FOT</m:t>
                  </m:r>
                </m:e>
                <m:sub>
                  <m:r>
                    <w:rPr>
                      <w:rFonts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sty m:val="p"/>
                    </m:rPr>
                    <m:t>str</m:t>
                  </m:r>
                </m:sub>
              </m:sSub>
            </m:sub>
          </m:sSub>
          <m:r>
            <w:rPr>
              <w:rFonts w:ascii="Times New Roman" w:hAnsi="Times New Roman" w:cs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+</m:t>
          </m:r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sSubPr>
            <m:e>
              <m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R</m:t>
              </m:r>
            </m:e>
            <m:sub>
              <m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sv</m:t>
              </m:r>
            </m:sub>
          </m:sSub>
          <m:r>
            <w:rPr>
              <w:rFonts w:ascii="Cambria Math" w:hAnsi="Cambria Math" w:eastAsia="Cambria Math" w:cs="Cambria Math"/>
              <w:color w:val="auto"/>
              <w:sz w:val="28"/>
              <w:szCs w:val="28"/>
              <w:highlight w:val="none"/>
              <w:lang w:val="en-US"/>
            </w:rPr>
            <m:rPr>
              <m:sty m:val="p"/>
            </m:rPr>
            <m:t>)</m:t>
          </m:r>
          <m:r>
            <w:rPr>
              <w:rFonts w:ascii="Times New Roman" w:hAnsi="Times New Roman" w:cs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×</m:t>
          </m:r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sSubPr>
            <m:e>
              <m:r>
                <w:rPr>
                  <w:rFonts w:ascii="Times New Roman" w:hAnsi="Times New Roman" w:cs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K</m:t>
              </m:r>
            </m:e>
            <m:sub>
              <m:r>
                <w:rPr>
                  <w:rFonts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pr</m:t>
              </m:r>
            </m:sub>
          </m:sSub>
          <m:r>
            <w:rPr>
              <w:rFonts w:ascii="Cambria Math" w:hAnsi="Cambria Math" w:eastAsia="Cambria Math" w:cs="Cambria Math"/>
              <w:color w:val="auto"/>
              <w:sz w:val="28"/>
              <w:szCs w:val="28"/>
              <w:highlight w:val="none"/>
              <w:lang w:val="en-US"/>
            </w:rPr>
            <m:rPr>
              <m:sty m:val="p"/>
            </m:rPr>
            <m:t> </m:t>
          </m:r>
          <m:r>
            <w:rPr>
              <w:rFonts w:ascii="Times New Roman" w:hAnsi="Times New Roman" w:cs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,</m:t>
          </m:r>
        </m:oMath>
      </m:oMathPara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R</m:t>
            </m:r>
          </m:e>
          <m:sub>
            <m:sSub>
              <m:sSubPr>
                <m:ctrlPr>
                  <w:rPr>
                    <w:rFonts w:hint="default" w:ascii="Cambria Math" w:hAnsi="Cambria Math" w:eastAsia="Cambria Math" w:cs="Cambria Math"/>
                    <w:color w:val="auto"/>
                    <w:sz w:val="28"/>
                    <w:szCs w:val="28"/>
                    <w:highlight w:val="none"/>
                  </w:rPr>
                </m:ctrlPr>
              </m:sSubPr>
              <m:e>
                <m:r>
                  <w:rPr>
                    <w:rFonts w:ascii="Times New Roman" w:hAnsi="Times New Roman" w:eastAsia="Times New Roman"/>
                    <w:color w:val="auto"/>
                    <w:sz w:val="28"/>
                    <w:szCs w:val="28"/>
                    <w:highlight w:val="none"/>
                    <w:lang w:val="en-US"/>
                  </w:rPr>
                  <m:rPr>
                    <m:nor m:val="on"/>
                  </m:rPr>
                  <m:t>FOT</m:t>
                </m:r>
              </m:e>
              <m:sub>
                <m:r>
                  <w:rPr>
                    <w:rFonts w:ascii="Cambria Math" w:hAnsi="Cambria Math" w:eastAsia="Cambria Math" w:cs="Cambria Math"/>
                    <w:color w:val="auto"/>
                    <w:sz w:val="28"/>
                    <w:szCs w:val="28"/>
                    <w:highlight w:val="none"/>
                    <w:lang w:val="en-US"/>
                  </w:rPr>
                  <m:rPr>
                    <m:sty m:val="p"/>
                  </m:rPr>
                  <m:t>str</m:t>
                </m:r>
              </m:sub>
            </m:sSub>
          </m:sub>
        </m:sSub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 стандартная (базовая) стоимость услуг персонала, оказывающего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в рамках социально-трудовых услуг;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R</m:t>
            </m:r>
          </m:e>
          <m:sub>
            <m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sv</m:t>
            </m:r>
          </m:sub>
        </m:sSub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расходы на обеспечение услугами связи;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K</m:t>
            </m:r>
          </m:e>
          <m:sub>
            <m:r>
              <w:rPr>
                <w:rFonts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pr</m:t>
            </m:r>
          </m:sub>
        </m:sSub>
        <m:r>
          <w:rPr>
            <w:rFonts w:ascii="Cambria Math" w:hAnsi="Cambria Math" w:eastAsia="Cambria Math" w:cs="Cambria Math"/>
            <w:color w:val="auto"/>
            <w:sz w:val="28"/>
            <w:szCs w:val="28"/>
            <w:highlight w:val="none"/>
          </w:rPr>
          <m:rPr>
            <m:sty m:val="p"/>
          </m:rPr>
          <m:t> </m:t>
        </m:r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коэффициент отчислений на прочие текущие расходы, принимаемый равным 0,04.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w:bookmarkStart w:id="10" w:name="P12"/>
      <w:r>
        <w:rPr>
          <w:color w:val="auto"/>
          <w:highlight w:val="none"/>
        </w:rPr>
      </w:r>
      <w:bookmarkEnd w:id="10"/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2.5.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Расходы на коммунальные услуги (</w:t>
      </w:r>
      <w:r>
        <w:rPr>
          <w:color w:val="auto"/>
          <w:highlight w:val="none"/>
        </w:rPr>
      </w:r>
      <m:oMath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lang w:val="en-US"/>
          </w:rPr>
          <m:rPr>
            <m:sty m:val="p"/>
          </m:rPr>
          <m:t>K</m:t>
        </m:r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) рассчитываются по формуле: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851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i w:val="0"/>
          <w:iCs w:val="0"/>
          <w:color w:val="auto"/>
          <w:highlight w:val="none"/>
        </w:rPr>
      </w:r>
      <m:oMathPara>
        <m:oMathParaPr/>
        <m:oMath>
          <m:r>
            <w:rPr>
              <w:rFonts w:hint="default" w:ascii="Cambria Math" w:hAnsi="Cambria Math" w:eastAsia="Cambria Math" w:cs="Cambria Math"/>
              <w:color w:val="auto"/>
              <w:sz w:val="28"/>
              <w:szCs w:val="28"/>
              <w:highlight w:val="none"/>
              <w:lang w:val="en-US"/>
            </w:rPr>
            <m:rPr>
              <m:sty m:val="p"/>
            </m:rPr>
            <m:t>K=</m:t>
          </m:r>
          <m:sSub>
            <m:sSubPr>
              <m:ctrlPr>
                <w:rPr>
                  <w:rFonts w:hint="default" w:ascii="Cambria Math" w:hAnsi="Cambria Math" w:eastAsia="Cambria Math" w:cs="Cambria Math"/>
                  <w:i w:val="0"/>
                  <w:color w:val="auto"/>
                  <w:sz w:val="28"/>
                  <w:szCs w:val="28"/>
                  <w:highlight w:val="none"/>
                  <w:lang w:val="en-US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P</m:t>
              </m:r>
            </m:e>
            <m:sub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q</m:t>
              </m:r>
            </m:sub>
          </m:sSub>
          <m:r>
            <w:rPr>
              <w:rFonts w:ascii="Times New Roman" w:hAnsi="Times New Roman" w:cs="Times New Roman"/>
              <w:i w:val="0"/>
              <w:iCs w:val="0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+</m:t>
          </m:r>
          <m:sSub>
            <m:sSubPr>
              <m:ctrlPr>
                <w:rPr>
                  <w:rFonts w:hint="default" w:ascii="Cambria Math" w:hAnsi="Cambria Math" w:eastAsia="Cambria Math" w:cs="Cambria Math"/>
                  <w:i w:val="0"/>
                  <w:color w:val="auto"/>
                  <w:sz w:val="28"/>
                  <w:szCs w:val="28"/>
                  <w:highlight w:val="none"/>
                  <w:lang w:val="en-US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P</m:t>
              </m:r>
            </m:e>
            <m:sub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cw</m:t>
              </m:r>
            </m:sub>
          </m:sSub>
          <m:r>
            <w:rPr>
              <w:rFonts w:ascii="Times New Roman" w:hAnsi="Times New Roman" w:cs="Times New Roman"/>
              <w:i w:val="0"/>
              <w:iCs w:val="0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+</m:t>
          </m:r>
          <m:sSub>
            <m:sSubPr>
              <m:ctrlPr>
                <w:rPr>
                  <w:rFonts w:hint="default" w:ascii="Cambria Math" w:hAnsi="Cambria Math" w:eastAsia="Cambria Math" w:cs="Cambria Math"/>
                  <w:i w:val="0"/>
                  <w:color w:val="auto"/>
                  <w:sz w:val="28"/>
                  <w:szCs w:val="28"/>
                  <w:highlight w:val="none"/>
                  <w:lang w:val="en-US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P</m:t>
              </m:r>
            </m:e>
            <m:sub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can</m:t>
              </m:r>
            </m:sub>
          </m:sSub>
          <m:r>
            <w:rPr>
              <w:rFonts w:ascii="Times New Roman" w:hAnsi="Times New Roman" w:cs="Times New Roman"/>
              <w:i w:val="0"/>
              <w:iCs w:val="0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+</m:t>
          </m:r>
          <m:r>
            <w:rPr>
              <w:rFonts w:ascii="Cambria Math" w:hAnsi="Cambria Math" w:eastAsia="Cambria Math" w:cs="Cambria Math"/>
              <w:color w:val="auto"/>
              <w:sz w:val="28"/>
              <w:szCs w:val="28"/>
              <w:highlight w:val="none"/>
              <w:lang w:val="en-US"/>
            </w:rPr>
            <m:rPr>
              <m:sty m:val="p"/>
            </m:rPr>
            <m:t> </m:t>
          </m:r>
          <m:sSub>
            <m:sSubPr>
              <m:ctrlPr>
                <w:rPr>
                  <w:rFonts w:hint="default" w:ascii="Cambria Math" w:hAnsi="Cambria Math" w:eastAsia="Cambria Math" w:cs="Cambria Math"/>
                  <w:i w:val="0"/>
                  <w:color w:val="auto"/>
                  <w:sz w:val="28"/>
                  <w:szCs w:val="28"/>
                  <w:highlight w:val="none"/>
                  <w:lang w:val="en-US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P</m:t>
              </m:r>
            </m:e>
            <m:sub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el</m:t>
              </m:r>
            </m:sub>
          </m:sSub>
          <m:r>
            <w:rPr>
              <w:rFonts w:ascii="Times New Roman" w:hAnsi="Times New Roman" w:cs="Times New Roman"/>
              <w:i w:val="0"/>
              <w:iCs w:val="0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+</m:t>
          </m:r>
          <m:sSub>
            <m:sSubPr>
              <m:ctrlPr>
                <w:rPr>
                  <w:rFonts w:hint="default" w:ascii="Cambria Math" w:hAnsi="Cambria Math" w:eastAsia="Cambria Math" w:cs="Cambria Math"/>
                  <w:i w:val="0"/>
                  <w:color w:val="auto"/>
                  <w:sz w:val="28"/>
                  <w:szCs w:val="28"/>
                  <w:highlight w:val="none"/>
                  <w:lang w:val="en-US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P</m:t>
              </m:r>
            </m:e>
            <m:sub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lit</m:t>
              </m:r>
            </m:sub>
          </m:sSub>
          <m:r>
            <w:rPr>
              <w:rFonts w:ascii="Times New Roman" w:hAnsi="Times New Roman" w:cs="Times New Roman"/>
              <w:i w:val="0"/>
              <w:iCs w:val="0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,</m:t>
          </m:r>
        </m:oMath>
      </m:oMathPara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q</m:t>
            </m:r>
          </m:sub>
        </m:sSub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размер платы за тепловую энергию;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cw</m:t>
            </m:r>
          </m:sub>
        </m:sSub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размер платы за водоснабжение;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can</m:t>
            </m:r>
          </m:sub>
        </m:sSub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размер платы за водоотведение;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el</m:t>
            </m:r>
          </m:sub>
        </m:sSub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размер платы за электроснабжение;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lit</m:t>
            </m:r>
          </m:sub>
        </m:sSub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размер платы за вывоз и утилизацию твердых коммунальных отходов.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2.6.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Размер платы за тепловую энергию (</w:t>
      </w:r>
      <w:r>
        <w:rPr>
          <w:i w:val="0"/>
          <w:iCs w:val="0"/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q</m:t>
            </m:r>
          </m:sub>
        </m:sSub>
      </m:oMath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) определяется по формуле:</w:t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851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i w:val="0"/>
          <w:iCs w:val="0"/>
          <w:color w:val="auto"/>
          <w:highlight w:val="none"/>
        </w:rPr>
      </w:r>
      <m:oMathPara>
        <m:oMathParaPr/>
        <m:oMath>
          <m:sSub>
            <m:sSubPr>
              <m:ctrlPr>
                <w:rPr>
                  <w:rFonts w:hint="default" w:ascii="Cambria Math" w:hAnsi="Cambria Math" w:eastAsia="Cambria Math" w:cs="Cambria Math"/>
                  <w:i w:val="0"/>
                  <w:color w:val="auto"/>
                  <w:sz w:val="28"/>
                  <w:szCs w:val="28"/>
                  <w:highlight w:val="none"/>
                  <w:lang w:val="en-US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P</m:t>
              </m:r>
            </m:e>
            <m:sub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q</m:t>
              </m:r>
            </m:sub>
          </m:sSub>
          <m:r>
            <w:rPr>
              <w:rFonts w:hint="default" w:ascii="Cambria Math" w:hAnsi="Cambria Math" w:eastAsia="Cambria Math" w:cs="Cambria Math"/>
              <w:color w:val="auto"/>
              <w:sz w:val="28"/>
              <w:szCs w:val="28"/>
              <w:highlight w:val="none"/>
              <w:lang w:val="en-US"/>
            </w:rPr>
            <m:rPr>
              <m:sty m:val="p"/>
            </m:rPr>
            <m:t>=</m:t>
          </m:r>
          <m:f>
            <m:fPr>
              <m:ctrlPr>
                <w:rPr>
                  <w:rFonts w:hint="default" w:ascii="Cambria Math" w:hAnsi="Cambria Math" w:eastAsia="Cambria Math" w:cs="Cambria Math"/>
                  <w:i w:val="0"/>
                  <w:iCs w:val="0"/>
                  <w:color w:val="auto"/>
                  <w:sz w:val="28"/>
                  <w:szCs w:val="28"/>
                  <w:highlight w:val="none"/>
                  <w:lang w:val="en-US"/>
                </w:rPr>
              </m:ctrlPr>
            </m:fPr>
            <m:num>
              <m:sSub>
                <m:sSubPr>
                  <m:ctrlPr>
                    <w:rPr>
                      <w:rFonts w:hint="default" w:ascii="Cambria Math" w:hAnsi="Cambria Math" w:eastAsia="Cambria Math" w:cs="Cambria Math"/>
                      <w:i w:val="0"/>
                      <w:color w:val="auto"/>
                      <w:sz w:val="28"/>
                      <w:szCs w:val="28"/>
                      <w:highlight w:val="none"/>
                      <w:lang w:val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sty m:val="p"/>
                    </m:rPr>
                    <m:t>N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sty m:val="p"/>
                    </m:rPr>
                    <m:t>q</m:t>
                  </m:r>
                </m:sub>
              </m:sSub>
            </m:num>
            <m:den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1000</m:t>
              </m:r>
            </m:den>
          </m:f>
          <m:r>
            <w:rPr>
              <w:rFonts w:ascii="Times New Roman" w:hAnsi="Times New Roman" w:cs="Times New Roman"/>
              <w:i w:val="0"/>
              <w:iCs w:val="0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×</m:t>
          </m:r>
          <m:sSub>
            <m:sSubPr>
              <m:ctrlPr>
                <w:rPr>
                  <w:rFonts w:hint="default" w:ascii="Cambria Math" w:hAnsi="Cambria Math" w:eastAsia="Cambria Math" w:cs="Cambria Math"/>
                  <w:i w:val="0"/>
                  <w:color w:val="auto"/>
                  <w:sz w:val="28"/>
                  <w:szCs w:val="28"/>
                  <w:highlight w:val="none"/>
                  <w:lang w:val="en-US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T</m:t>
              </m:r>
            </m:e>
            <m:sub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q</m:t>
              </m:r>
            </m:sub>
          </m:sSub>
          <m:r>
            <w:rPr>
              <w:rFonts w:ascii="Times New Roman" w:hAnsi="Times New Roman" w:cs="Times New Roman"/>
              <w:i w:val="0"/>
              <w:iCs w:val="0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×</m:t>
          </m:r>
          <m:sSub>
            <m:sSubPr>
              <m:ctrlPr>
                <w:rPr>
                  <w:rFonts w:hint="default" w:ascii="Cambria Math" w:hAnsi="Cambria Math" w:eastAsia="Cambria Math" w:cs="Cambria Math"/>
                  <w:i w:val="0"/>
                  <w:color w:val="auto"/>
                  <w:sz w:val="28"/>
                  <w:szCs w:val="28"/>
                  <w:highlight w:val="none"/>
                  <w:lang w:val="en-US"/>
                </w:rPr>
              </m:ctrlPr>
            </m:sSubPr>
            <m:e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S</m:t>
              </m:r>
            </m:e>
            <m:sub>
              <m: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sty m:val="p"/>
                </m:rPr>
                <m:t>n</m:t>
              </m:r>
            </m:sub>
          </m:sSub>
          <m:r>
            <w:rPr>
              <w:rFonts w:ascii="Times New Roman" w:hAnsi="Times New Roman" w:cs="Times New Roman"/>
              <w:i w:val="0"/>
              <w:iCs w:val="0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×</m:t>
          </m:r>
          <m:r>
            <w:rPr>
              <w:rFonts w:ascii="Times New Roman" w:hAnsi="Times New Roman" w:cs="Times New Roman"/>
              <w:i w:val="0"/>
              <w:iCs w:val="0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12,</m:t>
          </m:r>
        </m:oMath>
      </m:oMathPara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г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де:</w:t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i w:val="0"/>
          <w:iCs w:val="0"/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q</m:t>
            </m:r>
          </m:sub>
        </m:sSub>
      </m:oMath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норматив потребления тепловой энергии, принимаемый в соответствии с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таблицей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  <w:lang w:val="en-US"/>
        </w:rPr>
        <w:t xml:space="preserve">1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настоящего Порядка;</w:t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i w:val="0"/>
          <w:iCs w:val="0"/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T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q</m:t>
            </m:r>
          </m:sub>
        </m:sSub>
      </m:oMath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тариф на тепловую энергию, устанавливаемый Государственным комитетом Республики Татарстан по тарифам;</w:t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</w:r>
      <w:r>
        <w:rPr>
          <w:i w:val="0"/>
          <w:iCs w:val="0"/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S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n</m:t>
            </m:r>
          </m:sub>
        </m:sSub>
      </m:oMath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нормативная отапливаемая площадь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, принимаемая равной 18 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кв.м на одного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получателя услуги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«Оказание помощи в </w:t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и»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12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i w:val="0"/>
          <w:iCs w:val="0"/>
          <w:color w:val="auto"/>
          <w:sz w:val="28"/>
          <w:szCs w:val="28"/>
          <w:highlight w:val="none"/>
        </w:rPr>
        <w:t xml:space="preserve"> количество месяцев в году.</w:t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2.7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. Размер платы за водоснабжени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е, водоотведение, электроснабжение, вывоз и утилизацию твердых коммунальных отходов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en-US"/>
        </w:rPr>
        <w:t xml:space="preserve">(</w:t>
      </w: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c</m:t>
            </m:r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w(can, el, lit)</m:t>
            </m:r>
          </m:sub>
        </m:sSub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en-US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определяется по формуле: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851"/>
        <w:jc w:val="center"/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pPr>
      <w:r>
        <w:rPr>
          <w:i w:val="0"/>
          <w:iCs w:val="0"/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P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c</m:t>
            </m:r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w(can, el, lit)</m:t>
            </m:r>
          </m:sub>
        </m:sSub>
        <m:r>
          <w:rPr>
            <w:rFonts w:hint="default" w:ascii="Cambria Math" w:hAnsi="Cambria Math" w:eastAsia="Cambria Math" w:cs="Cambria Math"/>
            <w:color w:val="auto"/>
            <w:sz w:val="28"/>
            <w:szCs w:val="28"/>
            <w:highlight w:val="none"/>
            <w:lang w:val="en-US"/>
          </w:rPr>
          <m:rPr>
            <m:sty m:val="p"/>
          </m:rPr>
          <m:t>=</m:t>
        </m:r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N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cw(can, el, lit)</m:t>
            </m:r>
          </m:sub>
        </m:sSub>
        <m:r>
          <w:rPr>
            <w:rFonts w:ascii="Times New Roman" w:hAnsi="Times New Roman" w:cs="Times New Roman"/>
            <w:i w:val="0"/>
            <w:iCs w:val="0"/>
            <w:color w:val="auto"/>
            <w:sz w:val="28"/>
            <w:szCs w:val="28"/>
            <w:highlight w:val="none"/>
            <w:lang w:val="en-US"/>
          </w:rPr>
          <m:rPr>
            <m:nor m:val="on"/>
          </m:rPr>
          <m:t>×</m:t>
        </m:r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T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cw(can, el, lit)</m:t>
            </m:r>
          </m:sub>
        </m:sSub>
        <m:r>
          <w:rPr>
            <w:rFonts w:ascii="Times New Roman" w:hAnsi="Times New Roman" w:cs="Times New Roman"/>
            <w:i w:val="0"/>
            <w:iCs w:val="0"/>
            <w:color w:val="auto"/>
            <w:sz w:val="28"/>
            <w:szCs w:val="28"/>
            <w:highlight w:val="none"/>
            <w:lang w:val="en-US"/>
          </w:rPr>
          <m:rPr>
            <m:nor m:val="on"/>
          </m:rPr>
          <m:t>×</m:t>
        </m:r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m:rPr>
                <m:nor m:val="on"/>
              </m:rPr>
              <m:t>N</m:t>
            </m:r>
          </m:e>
          <m:sub>
            <m:r>
              <w:rPr>
                <w:rFonts w:ascii="Times New Roman" w:hAnsi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op</m:t>
            </m:r>
            <m:r>
              <w:rPr>
                <w:rFonts w:ascii="Cambria Math" w:hAnsi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z</m:t>
            </m:r>
          </m:sub>
        </m:sSub>
        <m:r>
          <w:rPr>
            <w:rFonts w:ascii="Times New Roman" w:hAnsi="Times New Roman" w:cs="Times New Roman"/>
            <w:i w:val="0"/>
            <w:iCs w:val="0"/>
            <w:color w:val="auto"/>
            <w:sz w:val="28"/>
            <w:szCs w:val="28"/>
            <w:highlight w:val="none"/>
            <w:lang w:val="en-US"/>
          </w:rPr>
          <m:rPr>
            <m:nor m:val="on"/>
          </m:rPr>
          <m:t>×12</m:t>
        </m:r>
      </m:oMath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bCs w:val="0"/>
          <w:i w:val="0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где: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N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bscript"/>
        </w:rPr>
        <w:t xml:space="preserve">cw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bscript"/>
        </w:rPr>
        <w:t xml:space="preserve">(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bscript"/>
        </w:rPr>
        <w:t xml:space="preserve">can,el,lit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vertAlign w:val="subscript"/>
        </w:rPr>
        <w:t xml:space="preserve">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нормативы потребления водоснабжения, водоотведения, электроснабжения, вывоза и утилизации твердых бытовых отходов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, принимаемые в соответствии с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таблицей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en-US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настоящего Порядка;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i w:val="0"/>
                <w:color w:val="auto"/>
                <w:sz w:val="28"/>
                <w:szCs w:val="28"/>
                <w:highlight w:val="none"/>
                <w:lang w:val="en-US"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T</m:t>
            </m:r>
          </m:e>
          <m:sub>
            <m: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val="en-US"/>
              </w:rPr>
              <m:rPr>
                <m:sty m:val="p"/>
              </m:rPr>
              <m:t>cw(can, el, lit)</m:t>
            </m:r>
          </m:sub>
        </m:sSub>
      </m:oMath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тарифы на водоснабжение, водоотведение, электроснабжение, вывоз и утилизацию твердых бытовых отходов, устанавливаемые Государственным комитетом Республики Татарстан по тарифам;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en-US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en-US"/>
        </w:rPr>
      </w: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m:rPr>
                <m:nor m:val="on"/>
              </m:rPr>
              <m:t>N</m:t>
            </m:r>
          </m:e>
          <m:sub>
            <m:r>
              <w:rPr>
                <w:rFonts w:ascii="Times New Roman" w:hAnsi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op</m:t>
            </m:r>
            <m:r>
              <w:rPr>
                <w:rFonts w:ascii="Cambria Math" w:hAnsi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z</m:t>
            </m:r>
          </m:sub>
        </m:sSub>
      </m:oMath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– нормативное количество получателей услуги «Оказание помощи в </w:t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и»,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принимаемое равным 1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0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12 - количество месяцев в году.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/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Таблица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lang w:val="en-US"/>
        </w:rPr>
        <w:t xml:space="preserve">1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12"/>
        <w:pBdr/>
        <w:spacing w:before="0" w:beforeAutospacing="0" w:line="240" w:lineRule="auto"/>
        <w:ind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w:bookmarkStart w:id="11" w:name="P32"/>
      <w:r>
        <w:rPr>
          <w:color w:val="auto"/>
          <w:highlight w:val="none"/>
        </w:rPr>
      </w:r>
      <w:bookmarkEnd w:id="11"/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Нормативы потребления коммунальных услуг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1012"/>
        <w:pBdr/>
        <w:spacing w:before="0" w:beforeAutospacing="0" w:line="240" w:lineRule="auto"/>
        <w:ind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tbl>
      <w:tblPr>
        <w:tblW w:w="0" w:type="auto"/>
        <w:tblCellMar>
          <w:left w:w="62" w:type="dxa"/>
          <w:top w:w="102" w:type="dxa"/>
          <w:right w:w="62" w:type="dxa"/>
          <w:bottom w:w="10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4819"/>
        <w:gridCol w:w="1843"/>
      </w:tblGrid>
      <w:tr>
        <w:trPr/>
        <w:tc>
          <w:tcPr>
            <w:tcBorders/>
            <w:tcW w:w="3260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Наименование коммунальной услуги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Нормативное значение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3260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куб. метров в месяц на одного человека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1,692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3260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куб. метров в месяц на одного человека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1,692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3260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Отопление, горячее водоснабжение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Мкал на кв. метр отапливаемой площади в месяц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17,282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3260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кВт.ч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 в месяц на одного человека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116,67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3260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Вывоз и утилизация твердых бытовых отходов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4819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куб. метров в месяц на одного человека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1843" w:type="dxa"/>
            <w:textDirection w:val="lrTb"/>
            <w:noWrap w:val="false"/>
          </w:tcPr>
          <w:p>
            <w:pPr>
              <w:pStyle w:val="1000"/>
              <w:pBdr/>
              <w:spacing w:before="0" w:before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0,216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</w:tbl>
    <w:p>
      <w:pPr>
        <w:pBdr/>
        <w:spacing w:after="0" w:before="0" w:beforeAutospacing="0" w:line="240" w:lineRule="auto"/>
        <w:ind w:firstLine="851"/>
        <w:jc w:val="both"/>
        <w:rPr>
          <w:rFonts w:ascii="Times New Roman" w:hAnsi="Times New Roman"/>
          <w:strike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strike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strike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strike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center"/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w:bookmarkStart w:id="12" w:name="_Hlk124436931"/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val="en-US" w:eastAsia="ru-RU"/>
        </w:rPr>
        <w:t xml:space="preserve">III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. Порядок расчета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подушевого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 норматива финансиро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вания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» </w:t>
      </w:r>
      <w:bookmarkEnd w:id="12"/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851" w:left="142"/>
        <w:jc w:val="center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1000"/>
        <w:pBdr/>
        <w:spacing w:before="0" w:beforeAutospacing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3.1.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Подушевой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норматив финансирования на предоставление услуги «Оказание п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омощи в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и» </w:t>
      </w:r>
      <m:oMath>
        <m:d>
          <m:d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dPr>
          <m:e>
            <m:sSub>
              <m:sSubPr>
                <m:ctrlPr>
                  <w:rPr>
                    <w:rFonts w:hint="default" w:ascii="Cambria Math" w:hAnsi="Cambria Math" w:eastAsia="Cambria Math" w:cs="Cambria Math"/>
                    <w:color w:val="auto"/>
                    <w:sz w:val="28"/>
                    <w:szCs w:val="28"/>
                    <w:highlight w:val="none"/>
                  </w:rPr>
                </m:ctrlPr>
              </m:sSubPr>
              <m:e>
                <m:r>
                  <w:rPr>
                    <w:rFonts w:ascii="Times New Roman" w:hAnsi="Times New Roman"/>
                    <w:color w:val="auto"/>
                    <w:sz w:val="28"/>
                    <w:szCs w:val="28"/>
                    <w:highlight w:val="none"/>
                    <w:lang w:val="en-US"/>
                  </w:rPr>
                  <m:rPr>
                    <m:nor m:val="on"/>
                  </m:rPr>
                  <m:t>PNF</m:t>
                </m:r>
              </m:e>
              <m:sub>
                <m:r>
                  <w:rPr>
                    <w:rFonts w:ascii="Times New Roman" w:hAnsi="Times New Roman"/>
                    <w:color w:val="auto"/>
                    <w:sz w:val="28"/>
                    <w:szCs w:val="28"/>
                    <w:highlight w:val="none"/>
                    <w:lang w:val="en-US"/>
                  </w:rPr>
                  <m:rPr>
                    <m:nor m:val="on"/>
                  </m:rPr>
                  <m:t>op</m:t>
                </m:r>
                <m:r>
                  <w:rPr>
                    <w:rFonts w:ascii="Times New Roman" w:hAnsi="Times New Roman"/>
                    <w:color w:val="auto"/>
                    <w:sz w:val="28"/>
                    <w:szCs w:val="28"/>
                    <w:highlight w:val="none"/>
                    <w:lang w:val="en-US"/>
                  </w:rPr>
                  <m:rPr>
                    <m:nor m:val="on"/>
                  </m:rPr>
                  <m:t>z</m:t>
                </m:r>
              </m:sub>
            </m:sSub>
          </m:e>
        </m:d>
      </m:oMath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в час определяется по формуле: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Para>
        <m:oMathParaPr/>
        <m:oMath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sSubPr>
            <m:e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PNF</m:t>
              </m:r>
            </m:e>
            <m:sub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op</m:t>
              </m:r>
              <m:r>
                <w:rPr>
                  <w:rFonts w:ascii="Cambria Math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z</m:t>
              </m:r>
            </m:sub>
          </m:sSub>
          <m:r>
            <w:rPr>
              <w:rFonts w:ascii="Times New Roman" w:hAnsi="Times New Roman" w:eastAsia="Times New Roman"/>
              <w:color w:val="auto"/>
              <w:sz w:val="28"/>
              <w:szCs w:val="28"/>
              <w:highlight w:val="none"/>
            </w:rPr>
            <m:rPr>
              <m:nor m:val="on"/>
            </m:rPr>
            <m:t>=</m:t>
          </m:r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sSubPr>
            <m:e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NFZ</m:t>
              </m:r>
            </m:e>
            <m:sub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op</m:t>
              </m:r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z</m:t>
              </m:r>
            </m:sub>
          </m:sSub>
          <m:r>
            <w:rPr>
              <w:rFonts w:ascii="Times New Roman" w:hAnsi="Times New Roman" w:eastAsia="Times New Roman"/>
              <w:color w:val="auto"/>
              <w:sz w:val="28"/>
              <w:szCs w:val="28"/>
              <w:highlight w:val="none"/>
            </w:rPr>
            <m:rPr>
              <m:nor m:val="on"/>
            </m:rPr>
            <m:t>,</m:t>
          </m:r>
        </m:oMath>
      </m:oMathPara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где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  <m:rPr>
                <m:nor m:val="on"/>
              </m:rPr>
              <m:t>NFZ</m:t>
            </m:r>
          </m:e>
          <m:sub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op</m:t>
            </m:r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z</m:t>
            </m:r>
          </m:sub>
        </m:sSub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нормативные затраты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center"/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val="en-US" w:eastAsia="ru-RU"/>
        </w:rPr>
        <w:t xml:space="preserve">IV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. Порядок расчета финансового обеспечения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на предоставление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center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4.1. Расходы на финансовое обеспечение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(</w:t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  <m:rPr>
                <m:nor m:val="on"/>
              </m:rPr>
              <m:t>FO</m:t>
            </m:r>
          </m:e>
          <m:sub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opt</m:t>
            </m:r>
          </m:sub>
        </m:sSub>
        <m:r>
          <w:rPr>
            <w:rFonts w:ascii="Times New Roman" w:hAnsi="Times New Roman" w:eastAsia="Times New Roman"/>
            <w:color w:val="auto"/>
            <w:sz w:val="28"/>
            <w:szCs w:val="28"/>
            <w:highlight w:val="none"/>
          </w:rPr>
          <m:rPr>
            <m:nor m:val="on"/>
          </m:rPr>
          <m:t>)</m:t>
        </m:r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, определяются по формуле: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3090"/>
        </w:tabs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Para>
        <m:oMathParaPr/>
        <m:oMath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sSubPr>
            <m:e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FO</m:t>
              </m:r>
            </m:e>
            <m:sub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opt</m:t>
              </m:r>
            </m:sub>
          </m:sSub>
          <m:r>
            <w:rPr>
              <w:rFonts w:ascii="Times New Roman" w:hAnsi="Times New Roman" w:eastAsia="Times New Roman"/>
              <w:color w:val="auto"/>
              <w:sz w:val="28"/>
              <w:szCs w:val="28"/>
              <w:highlight w:val="none"/>
              <w:lang w:val="en-US"/>
            </w:rPr>
            <m:rPr>
              <m:nor m:val="on"/>
            </m:rPr>
            <m:t>=</m:t>
          </m:r>
          <m:nary>
            <m:naryPr>
              <m:chr m:val="∑"/>
              <m:grow m:val="off"/>
              <m:limLoc m:val="undOvr"/>
              <m:subHide m:val="on"/>
              <m:supHide m:val="on"/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</w:rPr>
                  </m:ctrlPr>
                </m:sSubPr>
                <m:e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NFZ</m:t>
                  </m:r>
                </m:e>
                <m:sub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op</m:t>
                  </m:r>
                  <m:r>
                    <w:rPr>
                      <w:rFonts w:ascii="Cambria Math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z</m:t>
                  </m:r>
                </m:sub>
              </m:sSub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× </m:t>
              </m:r>
              <m:sSub>
                <m:sSubPr>
                  <m:ctrlPr>
                    <w:rPr>
                      <w:rFonts w:hint="default" w:ascii="Cambria Math" w:hAnsi="Cambria Math" w:eastAsia="Cambria Math" w:cs="Cambria Math"/>
                      <w:color w:val="auto"/>
                      <w:sz w:val="28"/>
                      <w:szCs w:val="28"/>
                      <w:highlight w:val="none"/>
                    </w:rPr>
                  </m:ctrlPr>
                </m:sSubPr>
                <m:e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N</m:t>
                  </m:r>
                </m:e>
                <m:sub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op</m:t>
                  </m:r>
                  <m:r>
                    <w:rPr>
                      <w:rFonts w:ascii="Times New Roman" w:hAnsi="Times New Roman" w:eastAsia="Times New Roman"/>
                      <w:color w:val="auto"/>
                      <w:sz w:val="28"/>
                      <w:szCs w:val="28"/>
                      <w:highlight w:val="none"/>
                      <w:lang w:val="en-US"/>
                    </w:rPr>
                    <m:rPr>
                      <m:nor m:val="on"/>
                    </m:rPr>
                    <m:t>z</m:t>
                  </m:r>
                </m:sub>
              </m:sSub>
            </m:e>
          </m:nary>
          <m:r>
            <w:rPr>
              <w:rFonts w:ascii="Cambria Math" w:hAnsi="Cambria Math" w:eastAsia="Cambria Math" w:cs="Cambria Math"/>
              <w:color w:val="auto"/>
              <w:sz w:val="28"/>
              <w:szCs w:val="28"/>
              <w:highlight w:val="none"/>
            </w:rPr>
            <m:rPr/>
            <m:t>х</m:t>
          </m:r>
          <m:r>
            <w:rPr>
              <w:rFonts w:ascii="Cambria Math" w:hAnsi="Cambria Math" w:eastAsia="Cambria Math" w:cs="Cambria Math"/>
              <w:color w:val="auto"/>
              <w:sz w:val="28"/>
              <w:szCs w:val="28"/>
              <w:highlight w:val="none"/>
              <w:lang w:val="en-US"/>
            </w:rPr>
            <m:rPr/>
            <m:t> </m:t>
          </m:r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  <w:lang w:eastAsia="ru-RU"/>
                </w:rPr>
              </m:ctrlPr>
            </m:sSubPr>
            <m:e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 w:eastAsia="ru-RU"/>
                </w:rPr>
                <m:rPr>
                  <m:nor m:val="on"/>
                </m:rPr>
                <m:t>D</m:t>
              </m:r>
            </m:e>
            <m:sub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 w:eastAsia="ru-RU"/>
                </w:rPr>
                <m:rPr>
                  <m:nor m:val="on"/>
                </m:rPr>
                <m:t>g</m:t>
              </m:r>
            </m:sub>
          </m:sSub>
          <m:r>
            <w:rPr>
              <w:rFonts w:ascii="Cambria Math" w:hAnsi="Cambria Math" w:eastAsia="Cambria Math" w:cs="Cambria Math"/>
              <w:color w:val="auto"/>
              <w:sz w:val="28"/>
              <w:szCs w:val="28"/>
              <w:highlight w:val="none"/>
              <w:lang w:eastAsia="ru-RU"/>
            </w:rPr>
            <m:rPr/>
            <m:t>х</m:t>
          </m:r>
          <m:sSub>
            <m:sSubPr>
              <m:ctrlPr>
                <w:rPr>
                  <w:rFonts w:hint="default" w:ascii="Cambria Math" w:hAnsi="Cambria Math" w:eastAsia="Cambria Math" w:cs="Cambria Math"/>
                  <w:color w:val="auto"/>
                  <w:sz w:val="28"/>
                  <w:szCs w:val="28"/>
                  <w:highlight w:val="none"/>
                </w:rPr>
              </m:ctrlPr>
            </m:sSubPr>
            <m:e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V</m:t>
              </m:r>
            </m:e>
            <m:sub>
              <m:r>
                <w:rPr>
                  <w:rFonts w:ascii="Times New Roman" w:hAnsi="Times New Roman" w:eastAsia="Times New Roman"/>
                  <w:color w:val="auto"/>
                  <w:sz w:val="28"/>
                  <w:szCs w:val="28"/>
                  <w:highlight w:val="none"/>
                  <w:lang w:val="en-US"/>
                </w:rPr>
                <m:rPr>
                  <m:nor m:val="on"/>
                </m:rPr>
                <m:t>d</m:t>
              </m:r>
            </m:sub>
          </m:sSub>
        </m:oMath>
      </m:oMathPara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  <w:lang w:val="en-US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right="0" w:firstLine="708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где: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right="0" w:firstLine="708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  <m:rPr>
                <m:nor m:val="on"/>
              </m:rPr>
              <m:t>NFZ</m:t>
            </m:r>
          </m:e>
          <m:sub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op</m:t>
            </m:r>
            <m:r>
              <w:rPr>
                <w:rFonts w:ascii="Cambria Math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z</m:t>
            </m:r>
          </m:sub>
        </m:sSub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–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нормативные затраты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на предоставление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  <w:lang w:eastAsia="ru-RU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eastAsia="ru-RU"/>
              </w:rPr>
              <m:rPr>
                <m:nor m:val="on"/>
              </m:rPr>
              <m:t>D</m:t>
            </m:r>
          </m:e>
          <m:sub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eastAsia="ru-RU"/>
              </w:rPr>
              <m:rPr>
                <m:nor m:val="on"/>
              </m:rPr>
              <m:t>g</m:t>
            </m:r>
          </m:sub>
        </m:sSub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– количество дней в году предоставления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и»,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принимаемое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eastAsia="ru-RU"/>
        </w:rPr>
        <w:t xml:space="preserve"> равным 244;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  <m:rPr>
                <m:nor m:val="on"/>
              </m:rPr>
              <m:t>N</m:t>
            </m:r>
          </m:e>
          <m:sub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op</m:t>
            </m:r>
            <m:r>
              <w:rPr>
                <w:rFonts w:ascii="Cambria Math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z</m:t>
            </m:r>
          </m:sub>
        </m:sSub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– нормативное количество получателей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принимаемое равным 10;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color w:val="auto"/>
          <w:highlight w:val="none"/>
        </w:rPr>
      </w:r>
      <m:oMath>
        <m:sSub>
          <m:sSubPr>
            <m:ctrlPr>
              <w:rPr>
                <w:rFonts w:hint="default" w:ascii="Cambria Math" w:hAnsi="Cambria Math" w:eastAsia="Cambria Math" w:cs="Cambria Math"/>
                <w:color w:val="auto"/>
                <w:sz w:val="28"/>
                <w:szCs w:val="28"/>
                <w:highlight w:val="none"/>
              </w:rPr>
            </m:ctrlPr>
          </m:sSubPr>
          <m:e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</w:rPr>
              <m:rPr>
                <m:nor m:val="on"/>
              </m:rPr>
              <m:t>V</m:t>
            </m:r>
          </m:e>
          <m:sub>
            <m:r>
              <w:rPr>
                <w:rFonts w:ascii="Times New Roman" w:hAnsi="Times New Roman" w:eastAsia="Times New Roman"/>
                <w:color w:val="auto"/>
                <w:sz w:val="28"/>
                <w:szCs w:val="28"/>
                <w:highlight w:val="none"/>
                <w:lang w:val="en-US"/>
              </w:rPr>
              <m:rPr>
                <m:nor m:val="on"/>
              </m:rPr>
              <m:t>d</m:t>
            </m:r>
          </m:sub>
        </m:sSub>
      </m:oMath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– продолжительность времени предоставления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в день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принимаемое равным 8 часам.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  <w:sectPr>
          <w:footnotePr/>
          <w:endnotePr/>
          <w:type w:val="nextPage"/>
          <w:pgSz w:h="16838" w:orient="portrait" w:w="11906"/>
          <w:pgMar w:top="1134" w:right="849" w:bottom="1134" w:left="1134" w:header="510" w:footer="709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5812"/>
        <w:jc w:val="both"/>
        <w:outlineLvl w:val="0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Утверждены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581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постановлением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581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Кабинета Министров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581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581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от _______ 2025 № ______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right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center"/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Нормативные затраты </w:t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center"/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»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и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подушевой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 норматив финансирования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»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на 2025 год</w:t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1. Нормативные затраты на предоставление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» на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2025 год устанавливаются в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размере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71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,70 рубля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за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один час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851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2. 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Подушевой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норматив финансирования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за час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на 2025 год принимается равным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71,70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рубля 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за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один час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Style w:val="998"/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both"/>
        <w:rPr>
          <w:rFonts w:ascii="Times New Roman" w:hAnsi="Times New Roman"/>
          <w:b/>
          <w:color w:val="auto"/>
          <w:sz w:val="28"/>
          <w:szCs w:val="28"/>
          <w:highlight w:val="none"/>
        </w:rPr>
        <w:sectPr>
          <w:footnotePr/>
          <w:endnotePr/>
          <w:type w:val="nextPage"/>
          <w:pgSz w:h="16838" w:orient="portrait" w:w="11906"/>
          <w:pgMar w:top="1134" w:right="849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center"/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pBdr/>
        <w:spacing w:before="0" w:beforeAutospacing="0" w:line="240" w:lineRule="auto"/>
        <w:ind/>
        <w:jc w:val="center"/>
        <w:rPr>
          <w:rFonts w:ascii="Times New Roman" w:hAnsi="Times New Roman"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«О порядке расчета нормативных затрат на предоставление услуги «Оказание помощи в 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» и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подушевого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 норматива финансирования на предоставление услуги «Оказание помощи в 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» и утверждении нормативных затрат на предоставление услуги «Оказание помощи в 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» и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подушевого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 норматива финансирования на предоставление услуги «Оказание помощи в 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» на 2025 год</w:t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Cs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left="142"/>
        <w:jc w:val="both"/>
        <w:rPr>
          <w:rFonts w:ascii="Times New Roman" w:hAnsi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b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851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Проект постановления Кабинета Министров Республики Татарстан «О порядке расчета нормативных затрат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подушевого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норматива финансирования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и утверждении нормативных затрат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подушевого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норматива финансирования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на 2025 год разработан ГБУ «ЦЭСИ РТ» в соответствии с пунктом 3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от 05.07.2025 № 486 «О реализации пилотного проекта «Организация содействия в социальной занятости инвалидов с расстройствами аутистического спектра и другими ментальными нарушениями» в 2025-2026 годах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outlineLvl w:val="0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Проектом постановления утверждаются: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Порядок расчета нормативных затрат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подушевого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норматива финансирования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и»;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нормативные затраты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и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подушевой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норматив финансирования на предоставление услуги «Оказание помощи в </w:t>
      </w:r>
      <w:r>
        <w:rPr>
          <w:rFonts w:ascii="Times New Roman" w:hAnsi="Times New Roman" w:eastAsia="Times New Roman"/>
          <w:bCs/>
          <w:color w:val="auto"/>
          <w:sz w:val="28"/>
          <w:szCs w:val="28"/>
          <w:highlight w:val="none"/>
        </w:rPr>
        <w:t xml:space="preserve">организации социальной занятост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и» на 2025 год.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highlight w:val="none"/>
        </w:rPr>
      </w:pP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Принятие проекта постановления Кабинета министров Республики Татарстан не потребует выделение дополнительных финансовых средств из бюджета Республики Татарстан.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Средства на указанные цели предусмотрены пунктом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6.2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ru-RU"/>
        </w:rPr>
        <w:t xml:space="preserve">плана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ru-RU"/>
        </w:rPr>
        <w:t xml:space="preserve">мероприятий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  <w:t xml:space="preserve">по реализации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2022 - 2026 годы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ru-RU"/>
        </w:rPr>
        <w:t xml:space="preserve">, утвержденного постановлением кабинета Министров Республики Татарстан от 14.11.2022 № 1208 «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ru-RU"/>
        </w:rPr>
        <w:t xml:space="preserve">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2022 - 2026 годы»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  <w:lang w:val="ru-RU"/>
        </w:rPr>
        <w:t xml:space="preserve">.</w:t>
      </w:r>
      <w:r>
        <w:rPr>
          <w:rFonts w:ascii="Times New Roman" w:hAnsi="Times New Roman" w:eastAsia="Times New Roman"/>
          <w:color w:val="auto"/>
          <w:sz w:val="28"/>
          <w:szCs w:val="28"/>
          <w:highlight w:val="none"/>
        </w:rPr>
      </w:r>
    </w:p>
    <w:p>
      <w:pPr>
        <w:pBdr/>
        <w:spacing w:after="0" w:before="0" w:beforeAutospacing="0" w:line="240" w:lineRule="auto"/>
        <w:ind w:firstLine="709" w:left="142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Отсутствует необходимость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в проведении оценки регулирующего воздействия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проекта постановления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 итогам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независимой антикоррупционной экспертизы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проекта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постановления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Кабинета Министров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заключений не поступало.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sectPr>
      <w:footnotePr/>
      <w:endnotePr/>
      <w:type w:val="nextPage"/>
      <w:pgSz w:h="16838" w:orient="portrait" w:w="11906"/>
      <w:pgMar w:top="1134" w:right="849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89439256"/>
      <w:docPartObj>
        <w:docPartGallery w:val="Page Numbers (Top of Page)"/>
        <w:docPartUnique w:val="true"/>
      </w:docPartObj>
      <w:rPr/>
    </w:sdtPr>
    <w:sdtContent>
      <w:p>
        <w:pPr>
          <w:pStyle w:val="1001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1"/>
      <w:pBdr/>
      <w:spacing/>
      <w:ind/>
      <w:jc w:val="center"/>
      <w:rPr/>
    </w:pPr>
    <w:r/>
    <w:r/>
  </w:p>
  <w:p>
    <w:pPr>
      <w:pStyle w:val="1001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1211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2062"/>
      </w:pPr>
      <w:rPr>
        <w:rFonts w:hint="default"/>
      </w:rPr>
      <w:start w:val="2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422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782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142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3502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862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  <w:color w:val="auto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0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149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509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869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75" w:left="13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upperRoman"/>
      <w:pPr>
        <w:pBdr/>
        <w:spacing/>
        <w:ind w:hanging="720" w:left="2422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2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75" w:left="13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24"/>
  </w:num>
  <w:num w:numId="5">
    <w:abstractNumId w:val="27"/>
  </w:num>
  <w:num w:numId="6">
    <w:abstractNumId w:val="6"/>
  </w:num>
  <w:num w:numId="7">
    <w:abstractNumId w:val="4"/>
  </w:num>
  <w:num w:numId="8">
    <w:abstractNumId w:val="18"/>
  </w:num>
  <w:num w:numId="9">
    <w:abstractNumId w:val="0"/>
  </w:num>
  <w:num w:numId="10">
    <w:abstractNumId w:val="2"/>
  </w:num>
  <w:num w:numId="11">
    <w:abstractNumId w:val="11"/>
  </w:num>
  <w:num w:numId="12">
    <w:abstractNumId w:val="7"/>
  </w:num>
  <w:num w:numId="13">
    <w:abstractNumId w:val="26"/>
  </w:num>
  <w:num w:numId="14">
    <w:abstractNumId w:val="23"/>
  </w:num>
  <w:num w:numId="15">
    <w:abstractNumId w:val="10"/>
  </w:num>
  <w:num w:numId="16">
    <w:abstractNumId w:val="22"/>
  </w:num>
  <w:num w:numId="17">
    <w:abstractNumId w:val="20"/>
  </w:num>
  <w:num w:numId="18">
    <w:abstractNumId w:val="16"/>
  </w:num>
  <w:num w:numId="19">
    <w:abstractNumId w:val="21"/>
  </w:num>
  <w:num w:numId="20">
    <w:abstractNumId w:val="13"/>
  </w:num>
  <w:num w:numId="21">
    <w:abstractNumId w:val="9"/>
  </w:num>
  <w:num w:numId="22">
    <w:abstractNumId w:val="15"/>
  </w:num>
  <w:num w:numId="23">
    <w:abstractNumId w:val="28"/>
  </w:num>
  <w:num w:numId="24">
    <w:abstractNumId w:val="17"/>
  </w:num>
  <w:num w:numId="25">
    <w:abstractNumId w:val="8"/>
  </w:num>
  <w:num w:numId="26">
    <w:abstractNumId w:val="12"/>
  </w:num>
  <w:num w:numId="27">
    <w:abstractNumId w:val="3"/>
  </w:num>
  <w:num w:numId="28">
    <w:abstractNumId w:val="29"/>
  </w:num>
  <w:num w:numId="29">
    <w:abstractNumId w:val="25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99">
    <w:name w:val="Heading 1 Char"/>
    <w:basedOn w:val="824"/>
    <w:link w:val="81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0">
    <w:name w:val="Heading 2 Char"/>
    <w:basedOn w:val="824"/>
    <w:link w:val="81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1">
    <w:name w:val="Heading 3 Char"/>
    <w:basedOn w:val="824"/>
    <w:link w:val="8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2">
    <w:name w:val="Heading 4 Char"/>
    <w:basedOn w:val="824"/>
    <w:link w:val="81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3">
    <w:name w:val="Heading 5 Char"/>
    <w:basedOn w:val="824"/>
    <w:link w:val="8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4">
    <w:name w:val="Heading 6 Char"/>
    <w:basedOn w:val="824"/>
    <w:link w:val="8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5">
    <w:name w:val="Heading 7 Char"/>
    <w:basedOn w:val="824"/>
    <w:link w:val="8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6">
    <w:name w:val="Heading 8 Char"/>
    <w:basedOn w:val="824"/>
    <w:link w:val="8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7">
    <w:name w:val="Heading 9 Char"/>
    <w:basedOn w:val="824"/>
    <w:link w:val="8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Title Char"/>
    <w:basedOn w:val="824"/>
    <w:link w:val="9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9">
    <w:name w:val="Subtitle Char"/>
    <w:basedOn w:val="824"/>
    <w:link w:val="9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0">
    <w:name w:val="Quote Char"/>
    <w:basedOn w:val="824"/>
    <w:link w:val="9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1">
    <w:name w:val="Intense Quote Char"/>
    <w:basedOn w:val="824"/>
    <w:link w:val="96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2">
    <w:name w:val="Footnote Text Char"/>
    <w:basedOn w:val="82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813">
    <w:name w:val="Endnote Text Char"/>
    <w:basedOn w:val="824"/>
    <w:link w:val="983"/>
    <w:uiPriority w:val="99"/>
    <w:semiHidden/>
    <w:pPr>
      <w:pBdr/>
      <w:spacing/>
      <w:ind/>
    </w:pPr>
    <w:rPr>
      <w:sz w:val="20"/>
      <w:szCs w:val="20"/>
    </w:rPr>
  </w:style>
  <w:style w:type="paragraph" w:styleId="814" w:default="1">
    <w:name w:val="Normal"/>
    <w:qFormat/>
    <w:pPr>
      <w:pBdr/>
      <w:spacing w:after="200" w:line="276" w:lineRule="auto"/>
      <w:ind/>
    </w:pPr>
    <w:rPr>
      <w:sz w:val="22"/>
      <w:szCs w:val="22"/>
      <w:lang w:eastAsia="en-US"/>
    </w:rPr>
  </w:style>
  <w:style w:type="paragraph" w:styleId="815">
    <w:name w:val="Heading 1"/>
    <w:basedOn w:val="814"/>
    <w:next w:val="814"/>
    <w:link w:val="95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816">
    <w:name w:val="Heading 2"/>
    <w:basedOn w:val="814"/>
    <w:next w:val="814"/>
    <w:link w:val="95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817">
    <w:name w:val="Heading 3"/>
    <w:basedOn w:val="814"/>
    <w:next w:val="814"/>
    <w:link w:val="95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818">
    <w:name w:val="Heading 4"/>
    <w:basedOn w:val="814"/>
    <w:next w:val="814"/>
    <w:link w:val="95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819">
    <w:name w:val="Heading 5"/>
    <w:basedOn w:val="814"/>
    <w:next w:val="814"/>
    <w:link w:val="95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820">
    <w:name w:val="Heading 6"/>
    <w:basedOn w:val="814"/>
    <w:next w:val="814"/>
    <w:link w:val="95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1">
    <w:name w:val="Heading 7"/>
    <w:basedOn w:val="814"/>
    <w:next w:val="814"/>
    <w:link w:val="95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2">
    <w:name w:val="Heading 8"/>
    <w:basedOn w:val="814"/>
    <w:next w:val="814"/>
    <w:link w:val="95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3">
    <w:name w:val="Heading 9"/>
    <w:basedOn w:val="814"/>
    <w:next w:val="814"/>
    <w:link w:val="96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4" w:default="1">
    <w:name w:val="Default Paragraph Font"/>
    <w:uiPriority w:val="1"/>
    <w:semiHidden/>
    <w:unhideWhenUsed/>
    <w:pPr>
      <w:pBdr/>
      <w:spacing/>
      <w:ind/>
    </w:pPr>
  </w:style>
  <w:style w:type="table" w:styleId="8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6" w:default="1">
    <w:name w:val="No List"/>
    <w:uiPriority w:val="99"/>
    <w:semiHidden/>
    <w:unhideWhenUsed/>
    <w:pPr>
      <w:pBdr/>
      <w:spacing/>
      <w:ind/>
    </w:pPr>
  </w:style>
  <w:style w:type="table" w:styleId="827" w:customStyle="1">
    <w:name w:val="Table Grid Light"/>
    <w:basedOn w:val="8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1"/>
    <w:basedOn w:val="82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2"/>
    <w:basedOn w:val="82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3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4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5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5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6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2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3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4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5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6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2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3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4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5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6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1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2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3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4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5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6"/>
    <w:basedOn w:val="825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5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6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5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6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1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2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3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4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5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6"/>
    <w:basedOn w:val="825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1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2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3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4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5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6"/>
    <w:basedOn w:val="82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5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6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5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6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5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6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5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6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5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6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1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2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3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4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5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6"/>
    <w:basedOn w:val="825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1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2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3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4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5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6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1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2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3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4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5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6"/>
    <w:basedOn w:val="825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1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2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3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4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5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6"/>
    <w:basedOn w:val="82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2" w:customStyle="1">
    <w:name w:val="Заголовок 1 Знак"/>
    <w:basedOn w:val="824"/>
    <w:link w:val="81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953" w:customStyle="1">
    <w:name w:val="Заголовок 2 Знак"/>
    <w:basedOn w:val="824"/>
    <w:link w:val="81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954" w:customStyle="1">
    <w:name w:val="Заголовок 3 Знак"/>
    <w:basedOn w:val="824"/>
    <w:link w:val="817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955" w:customStyle="1">
    <w:name w:val="Заголовок 4 Знак"/>
    <w:basedOn w:val="824"/>
    <w:link w:val="818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956" w:customStyle="1">
    <w:name w:val="Заголовок 5 Знак"/>
    <w:basedOn w:val="824"/>
    <w:link w:val="81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957" w:customStyle="1">
    <w:name w:val="Заголовок 6 Знак"/>
    <w:basedOn w:val="824"/>
    <w:link w:val="8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8" w:customStyle="1">
    <w:name w:val="Заголовок 7 Знак"/>
    <w:basedOn w:val="824"/>
    <w:link w:val="8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9" w:customStyle="1">
    <w:name w:val="Заголовок 8 Знак"/>
    <w:basedOn w:val="824"/>
    <w:link w:val="8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60" w:customStyle="1">
    <w:name w:val="Заголовок 9 Знак"/>
    <w:basedOn w:val="824"/>
    <w:link w:val="8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61">
    <w:name w:val="Title"/>
    <w:basedOn w:val="814"/>
    <w:next w:val="814"/>
    <w:link w:val="96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62" w:customStyle="1">
    <w:name w:val="Заголовок Знак"/>
    <w:basedOn w:val="824"/>
    <w:link w:val="96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63">
    <w:name w:val="Subtitle"/>
    <w:basedOn w:val="814"/>
    <w:next w:val="814"/>
    <w:link w:val="96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64" w:customStyle="1">
    <w:name w:val="Подзаголовок Знак"/>
    <w:basedOn w:val="824"/>
    <w:link w:val="96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5">
    <w:name w:val="Quote"/>
    <w:basedOn w:val="814"/>
    <w:next w:val="814"/>
    <w:link w:val="96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6" w:customStyle="1">
    <w:name w:val="Цитата 2 Знак"/>
    <w:basedOn w:val="824"/>
    <w:link w:val="96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67">
    <w:name w:val="Intense Emphasis"/>
    <w:basedOn w:val="824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68">
    <w:name w:val="Intense Quote"/>
    <w:basedOn w:val="814"/>
    <w:next w:val="814"/>
    <w:link w:val="96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69" w:customStyle="1">
    <w:name w:val="Выделенная цитата Знак"/>
    <w:basedOn w:val="824"/>
    <w:link w:val="96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70">
    <w:name w:val="Intense Reference"/>
    <w:basedOn w:val="824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71">
    <w:name w:val="No Spacing"/>
    <w:basedOn w:val="814"/>
    <w:uiPriority w:val="1"/>
    <w:qFormat/>
    <w:pPr>
      <w:pBdr/>
      <w:spacing w:after="0" w:line="240" w:lineRule="auto"/>
      <w:ind/>
    </w:pPr>
  </w:style>
  <w:style w:type="character" w:styleId="972">
    <w:name w:val="Subtle Emphasis"/>
    <w:basedOn w:val="8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73">
    <w:name w:val="Emphasis"/>
    <w:basedOn w:val="824"/>
    <w:uiPriority w:val="20"/>
    <w:qFormat/>
    <w:pPr>
      <w:pBdr/>
      <w:spacing/>
      <w:ind/>
    </w:pPr>
    <w:rPr>
      <w:i/>
      <w:iCs/>
    </w:rPr>
  </w:style>
  <w:style w:type="character" w:styleId="974">
    <w:name w:val="Strong"/>
    <w:basedOn w:val="824"/>
    <w:uiPriority w:val="22"/>
    <w:qFormat/>
    <w:pPr>
      <w:pBdr/>
      <w:spacing/>
      <w:ind/>
    </w:pPr>
    <w:rPr>
      <w:b/>
      <w:bCs/>
    </w:rPr>
  </w:style>
  <w:style w:type="character" w:styleId="975">
    <w:name w:val="Subtle Reference"/>
    <w:basedOn w:val="8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6">
    <w:name w:val="Book Title"/>
    <w:basedOn w:val="8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7" w:customStyle="1">
    <w:name w:val="Header Char"/>
    <w:basedOn w:val="824"/>
    <w:uiPriority w:val="99"/>
    <w:pPr>
      <w:pBdr/>
      <w:spacing/>
      <w:ind/>
    </w:pPr>
  </w:style>
  <w:style w:type="character" w:styleId="978" w:customStyle="1">
    <w:name w:val="Footer Char"/>
    <w:basedOn w:val="824"/>
    <w:uiPriority w:val="99"/>
    <w:pPr>
      <w:pBdr/>
      <w:spacing/>
      <w:ind/>
    </w:pPr>
  </w:style>
  <w:style w:type="paragraph" w:styleId="979">
    <w:name w:val="Caption"/>
    <w:basedOn w:val="814"/>
    <w:next w:val="814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80">
    <w:name w:val="footnote text"/>
    <w:basedOn w:val="814"/>
    <w:link w:val="9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1" w:customStyle="1">
    <w:name w:val="Текст сноски Знак"/>
    <w:basedOn w:val="824"/>
    <w:link w:val="980"/>
    <w:uiPriority w:val="99"/>
    <w:semiHidden/>
    <w:pPr>
      <w:pBdr/>
      <w:spacing/>
      <w:ind/>
    </w:pPr>
    <w:rPr>
      <w:sz w:val="20"/>
      <w:szCs w:val="20"/>
    </w:rPr>
  </w:style>
  <w:style w:type="character" w:styleId="982">
    <w:name w:val="footnote reference"/>
    <w:basedOn w:val="824"/>
    <w:uiPriority w:val="99"/>
    <w:semiHidden/>
    <w:unhideWhenUsed/>
    <w:pPr>
      <w:pBdr/>
      <w:spacing/>
      <w:ind/>
    </w:pPr>
    <w:rPr>
      <w:vertAlign w:val="superscript"/>
    </w:rPr>
  </w:style>
  <w:style w:type="paragraph" w:styleId="983">
    <w:name w:val="endnote text"/>
    <w:basedOn w:val="814"/>
    <w:link w:val="9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4" w:customStyle="1">
    <w:name w:val="Текст концевой сноски Знак"/>
    <w:basedOn w:val="824"/>
    <w:link w:val="983"/>
    <w:uiPriority w:val="99"/>
    <w:semiHidden/>
    <w:pPr>
      <w:pBdr/>
      <w:spacing/>
      <w:ind/>
    </w:pPr>
    <w:rPr>
      <w:sz w:val="20"/>
      <w:szCs w:val="20"/>
    </w:rPr>
  </w:style>
  <w:style w:type="character" w:styleId="985">
    <w:name w:val="endnote reference"/>
    <w:basedOn w:val="824"/>
    <w:uiPriority w:val="99"/>
    <w:semiHidden/>
    <w:unhideWhenUsed/>
    <w:pPr>
      <w:pBdr/>
      <w:spacing/>
      <w:ind/>
    </w:pPr>
    <w:rPr>
      <w:vertAlign w:val="superscript"/>
    </w:rPr>
  </w:style>
  <w:style w:type="character" w:styleId="986">
    <w:name w:val="FollowedHyperlink"/>
    <w:basedOn w:val="8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7">
    <w:name w:val="toc 1"/>
    <w:basedOn w:val="814"/>
    <w:next w:val="814"/>
    <w:uiPriority w:val="39"/>
    <w:unhideWhenUsed/>
    <w:pPr>
      <w:pBdr/>
      <w:spacing w:after="100"/>
      <w:ind/>
    </w:pPr>
  </w:style>
  <w:style w:type="paragraph" w:styleId="988">
    <w:name w:val="toc 2"/>
    <w:basedOn w:val="814"/>
    <w:next w:val="814"/>
    <w:uiPriority w:val="39"/>
    <w:unhideWhenUsed/>
    <w:pPr>
      <w:pBdr/>
      <w:spacing w:after="100"/>
      <w:ind w:left="220"/>
    </w:pPr>
  </w:style>
  <w:style w:type="paragraph" w:styleId="989">
    <w:name w:val="toc 3"/>
    <w:basedOn w:val="814"/>
    <w:next w:val="814"/>
    <w:uiPriority w:val="39"/>
    <w:unhideWhenUsed/>
    <w:pPr>
      <w:pBdr/>
      <w:spacing w:after="100"/>
      <w:ind w:left="440"/>
    </w:pPr>
  </w:style>
  <w:style w:type="paragraph" w:styleId="990">
    <w:name w:val="toc 4"/>
    <w:basedOn w:val="814"/>
    <w:next w:val="814"/>
    <w:uiPriority w:val="39"/>
    <w:unhideWhenUsed/>
    <w:pPr>
      <w:pBdr/>
      <w:spacing w:after="100"/>
      <w:ind w:left="660"/>
    </w:pPr>
  </w:style>
  <w:style w:type="paragraph" w:styleId="991">
    <w:name w:val="toc 5"/>
    <w:basedOn w:val="814"/>
    <w:next w:val="814"/>
    <w:uiPriority w:val="39"/>
    <w:unhideWhenUsed/>
    <w:pPr>
      <w:pBdr/>
      <w:spacing w:after="100"/>
      <w:ind w:left="880"/>
    </w:pPr>
  </w:style>
  <w:style w:type="paragraph" w:styleId="992">
    <w:name w:val="toc 6"/>
    <w:basedOn w:val="814"/>
    <w:next w:val="814"/>
    <w:uiPriority w:val="39"/>
    <w:unhideWhenUsed/>
    <w:pPr>
      <w:pBdr/>
      <w:spacing w:after="100"/>
      <w:ind w:left="1100"/>
    </w:pPr>
  </w:style>
  <w:style w:type="paragraph" w:styleId="993">
    <w:name w:val="toc 7"/>
    <w:basedOn w:val="814"/>
    <w:next w:val="814"/>
    <w:uiPriority w:val="39"/>
    <w:unhideWhenUsed/>
    <w:pPr>
      <w:pBdr/>
      <w:spacing w:after="100"/>
      <w:ind w:left="1320"/>
    </w:pPr>
  </w:style>
  <w:style w:type="paragraph" w:styleId="994">
    <w:name w:val="toc 8"/>
    <w:basedOn w:val="814"/>
    <w:next w:val="814"/>
    <w:uiPriority w:val="39"/>
    <w:unhideWhenUsed/>
    <w:pPr>
      <w:pBdr/>
      <w:spacing w:after="100"/>
      <w:ind w:left="1540"/>
    </w:pPr>
  </w:style>
  <w:style w:type="paragraph" w:styleId="995">
    <w:name w:val="toc 9"/>
    <w:basedOn w:val="814"/>
    <w:next w:val="814"/>
    <w:uiPriority w:val="39"/>
    <w:unhideWhenUsed/>
    <w:pPr>
      <w:pBdr/>
      <w:spacing w:after="100"/>
      <w:ind w:left="1760"/>
    </w:pPr>
  </w:style>
  <w:style w:type="paragraph" w:styleId="996">
    <w:name w:val="TOC Heading"/>
    <w:uiPriority w:val="39"/>
    <w:unhideWhenUsed/>
    <w:pPr>
      <w:pBdr/>
      <w:spacing/>
      <w:ind/>
    </w:pPr>
  </w:style>
  <w:style w:type="paragraph" w:styleId="997">
    <w:name w:val="table of figures"/>
    <w:basedOn w:val="814"/>
    <w:next w:val="814"/>
    <w:uiPriority w:val="99"/>
    <w:unhideWhenUsed/>
    <w:pPr>
      <w:pBdr/>
      <w:spacing w:after="0"/>
      <w:ind/>
    </w:pPr>
  </w:style>
  <w:style w:type="paragraph" w:styleId="998">
    <w:name w:val="List Paragraph"/>
    <w:basedOn w:val="814"/>
    <w:uiPriority w:val="34"/>
    <w:qFormat/>
    <w:pPr>
      <w:pBdr/>
      <w:spacing/>
      <w:ind w:left="720"/>
      <w:contextualSpacing w:val="true"/>
    </w:pPr>
  </w:style>
  <w:style w:type="table" w:styleId="999">
    <w:name w:val="Table Grid"/>
    <w:basedOn w:val="82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0" w:customStyle="1">
    <w:name w:val="ConsPlusNormal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1001">
    <w:name w:val="Header"/>
    <w:basedOn w:val="814"/>
    <w:link w:val="100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</w:rPr>
  </w:style>
  <w:style w:type="character" w:styleId="1002" w:customStyle="1">
    <w:name w:val="Верхний колонтитул Знак"/>
    <w:link w:val="1001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1003">
    <w:name w:val="Footer"/>
    <w:basedOn w:val="814"/>
    <w:link w:val="100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04" w:customStyle="1">
    <w:name w:val="Нижний колонтитул Знак"/>
    <w:basedOn w:val="824"/>
    <w:link w:val="1003"/>
    <w:uiPriority w:val="99"/>
    <w:pPr>
      <w:pBdr/>
      <w:spacing/>
      <w:ind/>
    </w:pPr>
  </w:style>
  <w:style w:type="paragraph" w:styleId="1005">
    <w:name w:val="Balloon Text"/>
    <w:basedOn w:val="814"/>
    <w:link w:val="1006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1006" w:customStyle="1">
    <w:name w:val="Текст выноски Знак"/>
    <w:link w:val="100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7" w:customStyle="1">
    <w:name w:val="ConsPlusCell"/>
    <w:uiPriority w:val="99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1008" w:customStyle="1">
    <w:name w:val="ConsPlusNonformat"/>
    <w:pPr>
      <w:pBdr/>
      <w:spacing/>
      <w:ind/>
    </w:pPr>
    <w:rPr>
      <w:rFonts w:ascii="Courier New" w:hAnsi="Courier New" w:eastAsia="Times New Roman" w:cs="Courier New"/>
    </w:rPr>
  </w:style>
  <w:style w:type="character" w:styleId="1009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table" w:styleId="1010" w:customStyle="1">
    <w:name w:val="Сетка таблицы1"/>
    <w:basedOn w:val="825"/>
    <w:next w:val="999"/>
    <w:pPr>
      <w:pBdr/>
      <w:spacing/>
      <w:ind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1">
    <w:name w:val="Placeholder Text"/>
    <w:basedOn w:val="824"/>
    <w:uiPriority w:val="99"/>
    <w:semiHidden/>
    <w:pPr>
      <w:pBdr/>
      <w:spacing/>
      <w:ind/>
    </w:pPr>
    <w:rPr>
      <w:color w:val="808080"/>
    </w:rPr>
  </w:style>
  <w:style w:type="paragraph" w:styleId="1012" w:customStyle="1">
    <w:name w:val="ConsPlusTitle"/>
    <w:pPr>
      <w:widowControl w:val="false"/>
      <w:pBdr/>
      <w:spacing/>
      <w:ind/>
    </w:pPr>
    <w:rPr>
      <w:rFonts w:cs="Calibri" w:eastAsiaTheme="minorEastAsia"/>
      <w:b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3AE42-B46A-4204-AFE4-01DD0CFF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revision>8</cp:revision>
  <dcterms:created xsi:type="dcterms:W3CDTF">2025-07-08T14:52:00Z</dcterms:created>
  <dcterms:modified xsi:type="dcterms:W3CDTF">2025-07-10T08:45:33Z</dcterms:modified>
</cp:coreProperties>
</file>