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bin" ContentType="application/vnd.openxmlformats-officedocument.oleObject"/>
  <Default Extension="rels" ContentType="application/vnd.openxmlformats-package.relationships+xml"/>
  <Default Extension="jpeg" ContentType="image/jpeg"/>
  <Default Extension="png" ContentType="image/png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endnotes.xml" ContentType="application/vnd.openxmlformats-officedocument.wordprocessingml.endnot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 w:after="0" w:line="240" w:lineRule="auto"/>
        <w:ind/>
        <w:jc w:val="right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  <w:t xml:space="preserve">ПРОЕКТ</w:t>
      </w: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  <w:t xml:space="preserve">КАБИНЕТ МИНИСТРОВ РЕСПУБЛИКИ ТАТАРСТАН</w:t>
      </w: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  <w:t xml:space="preserve">ПОСТАНОВЛЕНИЕ</w:t>
      </w: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  <w:t xml:space="preserve">«___» _______ 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202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5</w:t>
        <w:tab/>
      </w:r>
      <w:r>
        <w:rPr>
          <w:rFonts w:ascii="Times New Roman" w:hAnsi="Times New Roman" w:eastAsia="Calibri"/>
          <w:sz w:val="28"/>
          <w:szCs w:val="28"/>
          <w:lang w:eastAsia="en-US"/>
        </w:rPr>
        <w:tab/>
      </w:r>
      <w:r>
        <w:rPr>
          <w:rFonts w:ascii="Times New Roman" w:hAnsi="Times New Roman" w:eastAsia="Calibri"/>
          <w:sz w:val="28"/>
          <w:szCs w:val="28"/>
          <w:lang w:eastAsia="en-US"/>
        </w:rPr>
        <w:tab/>
      </w:r>
      <w:r>
        <w:rPr>
          <w:rFonts w:ascii="Times New Roman" w:hAnsi="Times New Roman" w:eastAsia="Calibri"/>
          <w:sz w:val="28"/>
          <w:szCs w:val="28"/>
          <w:lang w:eastAsia="en-US"/>
        </w:rPr>
        <w:tab/>
      </w:r>
      <w:r>
        <w:rPr>
          <w:rFonts w:ascii="Times New Roman" w:hAnsi="Times New Roman" w:eastAsia="Calibri"/>
          <w:sz w:val="28"/>
          <w:szCs w:val="28"/>
          <w:lang w:eastAsia="en-US"/>
        </w:rPr>
        <w:tab/>
      </w:r>
      <w:r>
        <w:rPr>
          <w:rFonts w:ascii="Times New Roman" w:hAnsi="Times New Roman" w:eastAsia="Calibri"/>
          <w:sz w:val="28"/>
          <w:szCs w:val="28"/>
          <w:lang w:eastAsia="en-US"/>
        </w:rPr>
        <w:tab/>
      </w:r>
      <w:r>
        <w:rPr>
          <w:rFonts w:ascii="Times New Roman" w:hAnsi="Times New Roman" w:eastAsia="Calibri"/>
          <w:sz w:val="28"/>
          <w:szCs w:val="28"/>
          <w:lang w:eastAsia="en-US"/>
        </w:rPr>
        <w:tab/>
      </w:r>
      <w:r>
        <w:rPr>
          <w:rFonts w:ascii="Times New Roman" w:hAnsi="Times New Roman" w:eastAsia="Calibri"/>
          <w:sz w:val="28"/>
          <w:szCs w:val="28"/>
          <w:lang w:eastAsia="en-US"/>
        </w:rPr>
        <w:tab/>
        <w:t xml:space="preserve">№ ___</w:t>
      </w: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  <w:t xml:space="preserve">г. Казань</w:t>
      </w: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tabs>
          <w:tab w:val="left" w:leader="none" w:pos="3686"/>
        </w:tabs>
        <w:spacing w:after="0" w:line="230" w:lineRule="auto"/>
        <w:ind w:right="5101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highlight w:val="none"/>
        </w:rPr>
      </w:r>
      <w:bookmarkStart w:id="1" w:name="_Hlk2867593"/>
      <w:r>
        <w:rPr>
          <w:rFonts w:ascii="Times New Roman" w:hAnsi="Times New Roman" w:cs="Times New Roman"/>
          <w:sz w:val="28"/>
          <w:szCs w:val="28"/>
          <w:highlight w:val="none"/>
        </w:rPr>
        <w:t xml:space="preserve">О внесении изменений в постановление Кабинета Министров Республики Татарстан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от 14.08.2018 № 665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«</w:t>
      </w:r>
      <w:r>
        <w:rPr>
          <w:rFonts w:ascii="Times New Roman" w:hAnsi="Times New Roman"/>
          <w:sz w:val="28"/>
          <w:szCs w:val="28"/>
          <w:highlight w:val="none"/>
        </w:rPr>
        <w:t xml:space="preserve">Об условиях оплаты труда работников государственных </w:t>
      </w:r>
      <w:r>
        <w:rPr>
          <w:rFonts w:ascii="Times New Roman" w:hAnsi="Times New Roman"/>
          <w:sz w:val="28"/>
          <w:szCs w:val="28"/>
          <w:highlight w:val="none"/>
        </w:rPr>
        <w:t xml:space="preserve">организаций молодежной политики Республики Татарстан</w:t>
      </w:r>
      <w:r>
        <w:rPr>
          <w:rFonts w:ascii="Times New Roman" w:hAnsi="Times New Roman"/>
          <w:sz w:val="28"/>
          <w:szCs w:val="28"/>
          <w:highlight w:val="none"/>
        </w:rPr>
        <w:t xml:space="preserve">»</w:t>
      </w:r>
      <w:bookmarkEnd w:id="1"/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Bdr/>
        <w:spacing w:after="0" w:line="230" w:lineRule="auto"/>
        <w:ind w:right="-1" w:firstLine="709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Bdr/>
        <w:spacing w:after="0" w:line="230" w:lineRule="auto"/>
        <w:ind w:right="-1" w:firstLine="709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Bdr/>
        <w:spacing w:after="0" w:line="230" w:lineRule="auto"/>
        <w:ind w:right="-1" w:firstLine="709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Кабинет Министров Республики Татарстан ПОСТАНОВЛЯЕТ: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Bdr/>
        <w:spacing w:after="0" w:line="230" w:lineRule="auto"/>
        <w:ind w:firstLine="709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1019"/>
        <w:numPr>
          <w:ilvl w:val="0"/>
          <w:numId w:val="11"/>
        </w:numPr>
        <w:pBdr/>
        <w:tabs>
          <w:tab w:val="left" w:leader="none" w:pos="993"/>
        </w:tabs>
        <w:spacing w:line="360" w:lineRule="auto"/>
        <w:ind w:firstLine="709" w:left="0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Внести в постановление Кабинета Министров Республики Татарстан </w:t>
      </w:r>
      <w:r>
        <w:rPr>
          <w:rFonts w:ascii="Times New Roman" w:hAnsi="Times New Roman" w:cs="Times New Roman"/>
          <w:sz w:val="28"/>
          <w:szCs w:val="28"/>
          <w:highlight w:val="none"/>
        </w:rPr>
        <w:br/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от 14.08.2018 № 665 «</w:t>
      </w:r>
      <w:r>
        <w:rPr>
          <w:rFonts w:ascii="Times New Roman" w:hAnsi="Times New Roman"/>
          <w:sz w:val="28"/>
          <w:szCs w:val="28"/>
          <w:highlight w:val="none"/>
        </w:rPr>
        <w:t xml:space="preserve">Об условиях оплаты труда работников государственных организаций молодежной политики Республики Татарстан» (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с изменениями, внесенными постановлениями Кабинета Министров Республики Татарстан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от 21.06.2019 № 505, от 31.01.2020 № 54, от 26.07.2021 № 645, от 30.10.2021 № 1030, от 09.02.2022 № 102, от 01.04.2022 № 304, от 20.06.2022 № 587, от 14.09.2022 № 1002, от 21.02.2023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№ 171, от 16.10.2023 № 1312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,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от 1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8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0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6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.202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4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№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434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,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от 1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3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0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9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.202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4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№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785,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от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22.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0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4.202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5 №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256) следующие изменения: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1009"/>
        <w:pBdr/>
        <w:spacing w:after="0" w:line="360" w:lineRule="auto"/>
        <w:ind w:firstLine="709" w:left="0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в П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оложени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и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об условиях оплаты труда работников государственных организаций молодежной политики и отдельных нетиповых организаций, подведомственных Министерству по делам молодежи Республики Татарстан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/>
          <w:sz w:val="28"/>
          <w:szCs w:val="28"/>
          <w:highlight w:val="none"/>
        </w:rPr>
        <w:t xml:space="preserve">утвержденно</w:t>
      </w:r>
      <w:r>
        <w:rPr>
          <w:rFonts w:ascii="Times New Roman" w:hAnsi="Times New Roman"/>
          <w:sz w:val="28"/>
          <w:szCs w:val="28"/>
          <w:highlight w:val="none"/>
        </w:rPr>
        <w:t xml:space="preserve">м</w:t>
      </w:r>
      <w:r>
        <w:rPr>
          <w:rFonts w:ascii="Times New Roman" w:hAnsi="Times New Roman"/>
          <w:sz w:val="28"/>
          <w:szCs w:val="28"/>
          <w:highlight w:val="none"/>
        </w:rPr>
        <w:t xml:space="preserve"> указанным постановлением</w:t>
      </w:r>
      <w:r>
        <w:rPr>
          <w:rFonts w:ascii="Times New Roman" w:hAnsi="Times New Roman"/>
          <w:sz w:val="28"/>
          <w:szCs w:val="28"/>
          <w:highlight w:val="none"/>
        </w:rPr>
        <w:t xml:space="preserve">:</w:t>
      </w:r>
      <w:bookmarkStart w:id="2" w:name="_Hlk172538856"/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1009"/>
        <w:pBdr/>
        <w:spacing w:after="0" w:line="360" w:lineRule="auto"/>
        <w:ind w:firstLine="709" w:left="0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раздел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II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изложить в следующей редакции:</w:t>
      </w:r>
      <w:bookmarkEnd w:id="2"/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1019"/>
        <w:pBdr/>
        <w:tabs>
          <w:tab w:val="right" w:leader="none" w:pos="993"/>
        </w:tabs>
        <w:spacing w:line="360" w:lineRule="auto"/>
        <w:ind/>
        <w:jc w:val="center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bCs/>
          <w:sz w:val="28"/>
          <w:szCs w:val="28"/>
          <w:highlight w:val="none"/>
        </w:rPr>
        <w:t xml:space="preserve">«</w:t>
      </w:r>
      <w:r>
        <w:rPr>
          <w:rFonts w:ascii="Times New Roman" w:hAnsi="Times New Roman" w:cs="Times New Roman"/>
          <w:bCs/>
          <w:sz w:val="28"/>
          <w:szCs w:val="28"/>
          <w:highlight w:val="none"/>
          <w:lang w:val="en-US"/>
        </w:rPr>
        <w:t xml:space="preserve">II</w:t>
      </w:r>
      <w:r>
        <w:rPr>
          <w:rFonts w:ascii="Times New Roman" w:hAnsi="Times New Roman" w:cs="Times New Roman"/>
          <w:bCs/>
          <w:sz w:val="28"/>
          <w:szCs w:val="28"/>
          <w:highlight w:val="none"/>
        </w:rPr>
        <w:t xml:space="preserve">. Определение базовых окладов работников организаций</w:t>
      </w:r>
      <w:r>
        <w:rPr>
          <w:rFonts w:ascii="Times New Roman" w:hAnsi="Times New Roman" w:cs="Times New Roman"/>
          <w:bCs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Cs/>
          <w:sz w:val="28"/>
          <w:szCs w:val="28"/>
          <w:highlight w:val="none"/>
        </w:rPr>
      </w:r>
    </w:p>
    <w:p>
      <w:pPr>
        <w:pStyle w:val="1019"/>
        <w:pBdr/>
        <w:tabs>
          <w:tab w:val="right" w:leader="none" w:pos="993"/>
        </w:tabs>
        <w:spacing w:line="360" w:lineRule="auto"/>
        <w:ind/>
        <w:jc w:val="center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bCs/>
          <w:sz w:val="28"/>
          <w:szCs w:val="28"/>
          <w:highlight w:val="none"/>
        </w:rPr>
        <w:t xml:space="preserve">молодежной политики</w:t>
      </w:r>
      <w:r>
        <w:rPr>
          <w:rFonts w:ascii="Times New Roman" w:hAnsi="Times New Roman" w:cs="Times New Roman"/>
          <w:bCs/>
          <w:sz w:val="28"/>
          <w:szCs w:val="28"/>
          <w:highlight w:val="none"/>
        </w:rPr>
      </w:r>
      <w:r/>
    </w:p>
    <w:p>
      <w:pPr>
        <w:pStyle w:val="1019"/>
        <w:pBdr/>
        <w:tabs>
          <w:tab w:val="right" w:leader="none" w:pos="993"/>
        </w:tabs>
        <w:spacing w:line="360" w:lineRule="auto"/>
        <w:ind w:firstLine="720"/>
        <w:jc w:val="center"/>
        <w:rPr>
          <w:rFonts w:ascii="Times New Roman" w:hAnsi="Times New Roman" w:cs="Times New Roman"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Cs/>
          <w:sz w:val="28"/>
          <w:szCs w:val="28"/>
          <w:highlight w:val="none"/>
        </w:rPr>
      </w:r>
    </w:p>
    <w:p>
      <w:pPr>
        <w:pStyle w:val="1019"/>
        <w:pBdr/>
        <w:tabs>
          <w:tab w:val="right" w:leader="none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2.1. Базовые оклады работников физической культуры организаций молодежной политики устанавливаются в следующих размерах: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1019"/>
        <w:pBdr/>
        <w:spacing w:line="360" w:lineRule="auto"/>
        <w:ind w:firstLine="720"/>
        <w:jc w:val="center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tbl>
      <w:tblPr>
        <w:tblInd w:w="-5" w:type="dxa"/>
        <w:tblW w:w="10206" w:type="dxa"/>
        <w:tblBorders/>
        <w:tblLook w:val="04A0" w:firstRow="1" w:lastRow="0" w:firstColumn="1" w:lastColumn="0" w:noHBand="0" w:noVBand="1"/>
        <w:tblStyle w:val="1010"/>
      </w:tblPr>
      <w:tblGrid>
        <w:gridCol w:w="2477"/>
        <w:gridCol w:w="4327"/>
        <w:gridCol w:w="3402"/>
      </w:tblGrid>
      <w:tr>
        <w:trPr>
          <w:tblHeader/>
        </w:trPr>
        <w:tc>
          <w:tcPr>
            <w:tcBorders/>
            <w:tcW w:w="2477" w:type="dxa"/>
            <w:textDirection w:val="lrTb"/>
            <w:noWrap w:val="false"/>
          </w:tcPr>
          <w:p>
            <w:pPr>
              <w:pStyle w:val="101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Квалификационный уровень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4327" w:type="dxa"/>
            <w:textDirection w:val="lrTb"/>
            <w:noWrap w:val="false"/>
          </w:tcPr>
          <w:p>
            <w:pPr>
              <w:pStyle w:val="101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Наименование должности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3402" w:type="dxa"/>
            <w:textDirection w:val="lrTb"/>
            <w:noWrap w:val="false"/>
          </w:tcPr>
          <w:p>
            <w:pPr>
              <w:pStyle w:val="101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Размер базового оклада в месяц, рублей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  <w:tr>
        <w:trPr/>
        <w:tc>
          <w:tcPr>
            <w:gridSpan w:val="3"/>
            <w:tcBorders/>
            <w:tcW w:w="10206" w:type="dxa"/>
            <w:textDirection w:val="lrTb"/>
            <w:noWrap w:val="false"/>
          </w:tcPr>
          <w:p>
            <w:pPr>
              <w:pStyle w:val="101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Профессиональная квалификационная группа должностей работников 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pStyle w:val="101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физической культуры и спорта второго уровня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  <w:tr>
        <w:trPr>
          <w:trHeight w:val="976"/>
        </w:trPr>
        <w:tc>
          <w:tcPr>
            <w:tcBorders/>
            <w:tcW w:w="2477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Второй квалификационный уровень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4327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Хореограф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340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000000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val="en-US"/>
              </w:rPr>
              <w:t xml:space="preserve">26 610</w:t>
            </w:r>
            <w:r>
              <w:rPr>
                <w:color w:val="000000"/>
                <w:sz w:val="18"/>
                <w:szCs w:val="18"/>
                <w:highlight w:val="none"/>
              </w:rPr>
              <w:t xml:space="preserve"> </w:t>
            </w:r>
            <w:r>
              <w:rPr>
                <w:color w:val="000000"/>
                <w:sz w:val="18"/>
                <w:szCs w:val="18"/>
                <w:highlight w:val="none"/>
              </w:rPr>
            </w:r>
            <w:r>
              <w:rPr>
                <w:color w:val="000000"/>
                <w:sz w:val="18"/>
                <w:szCs w:val="18"/>
                <w:highlight w:val="none"/>
              </w:rPr>
            </w:r>
          </w:p>
        </w:tc>
      </w:tr>
    </w:tbl>
    <w:p>
      <w:pPr>
        <w:pStyle w:val="1019"/>
        <w:pBdr/>
        <w:spacing w:line="360" w:lineRule="auto"/>
        <w:ind/>
        <w:jc w:val="center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1019"/>
        <w:pBdr/>
        <w:tabs>
          <w:tab w:val="right" w:leader="none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2.2. Базовые оклады работников образования организаций молодежной политики устанавливаются в следующих размерах: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1019"/>
        <w:pBdr/>
        <w:tabs>
          <w:tab w:val="right" w:leader="none" w:pos="993"/>
        </w:tabs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tbl>
      <w:tblPr>
        <w:tblInd w:w="-5" w:type="dxa"/>
        <w:tblW w:w="10206" w:type="dxa"/>
        <w:tblBorders>
          <w:bottom w:val="none" w:color="auto" w:sz="0" w:space="0"/>
        </w:tblBorders>
        <w:tblLayout w:type="fixed"/>
        <w:tblLook w:val="04A0" w:firstRow="1" w:lastRow="0" w:firstColumn="1" w:lastColumn="0" w:noHBand="0" w:noVBand="1"/>
        <w:tblStyle w:val="1010"/>
      </w:tblPr>
      <w:tblGrid>
        <w:gridCol w:w="2556"/>
        <w:gridCol w:w="4677"/>
        <w:gridCol w:w="2973"/>
      </w:tblGrid>
      <w:tr>
        <w:trPr>
          <w:tblHeader/>
        </w:trPr>
        <w:tc>
          <w:tcPr>
            <w:tcBorders/>
            <w:tcW w:w="2556" w:type="dxa"/>
            <w:textDirection w:val="lrTb"/>
            <w:noWrap w:val="false"/>
          </w:tcPr>
          <w:p>
            <w:pPr>
              <w:pStyle w:val="101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Квалификационный уровень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4677" w:type="dxa"/>
            <w:textDirection w:val="lrTb"/>
            <w:noWrap w:val="false"/>
          </w:tcPr>
          <w:p>
            <w:pPr>
              <w:pStyle w:val="101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Наименование должности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2973" w:type="dxa"/>
            <w:textDirection w:val="lrTb"/>
            <w:noWrap w:val="false"/>
          </w:tcPr>
          <w:p>
            <w:pPr>
              <w:pStyle w:val="101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Размер базового оклада в месяц, рублей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</w:tbl>
    <w:p>
      <w:pPr>
        <w:pBdr/>
        <w:spacing w:after="0" w:line="240" w:lineRule="auto"/>
        <w:ind/>
        <w:rPr>
          <w:rFonts w:asciiTheme="majorBidi" w:hAnsiTheme="majorBidi" w:cstheme="majorBidi"/>
          <w:sz w:val="2"/>
          <w:szCs w:val="2"/>
          <w:highlight w:val="none"/>
        </w:rPr>
      </w:pPr>
      <w:r>
        <w:rPr>
          <w:rFonts w:asciiTheme="majorBidi" w:hAnsiTheme="majorBidi" w:cstheme="majorBidi"/>
          <w:sz w:val="2"/>
          <w:szCs w:val="2"/>
          <w:highlight w:val="none"/>
        </w:rPr>
      </w:r>
      <w:r>
        <w:rPr>
          <w:rFonts w:asciiTheme="majorBidi" w:hAnsiTheme="majorBidi" w:cstheme="majorBidi"/>
          <w:sz w:val="2"/>
          <w:szCs w:val="2"/>
          <w:highlight w:val="none"/>
        </w:rPr>
      </w:r>
      <w:r>
        <w:rPr>
          <w:rFonts w:asciiTheme="majorBidi" w:hAnsiTheme="majorBidi" w:cstheme="majorBidi"/>
          <w:sz w:val="2"/>
          <w:szCs w:val="2"/>
          <w:highlight w:val="none"/>
        </w:rPr>
      </w:r>
    </w:p>
    <w:tbl>
      <w:tblPr>
        <w:tblInd w:w="-5" w:type="dxa"/>
        <w:tblW w:w="10206" w:type="dxa"/>
        <w:tblBorders/>
        <w:tblLayout w:type="fixed"/>
        <w:tblLook w:val="04A0" w:firstRow="1" w:lastRow="0" w:firstColumn="1" w:lastColumn="0" w:noHBand="0" w:noVBand="1"/>
        <w:tblStyle w:val="1010"/>
      </w:tblPr>
      <w:tblGrid>
        <w:gridCol w:w="2556"/>
        <w:gridCol w:w="4677"/>
        <w:gridCol w:w="2973"/>
      </w:tblGrid>
      <w:tr>
        <w:trPr>
          <w:tblHeader/>
        </w:trPr>
        <w:tc>
          <w:tcPr>
            <w:tcBorders/>
            <w:tcW w:w="2556" w:type="dxa"/>
            <w:textDirection w:val="lrTb"/>
            <w:noWrap w:val="false"/>
          </w:tcPr>
          <w:p>
            <w:pPr>
              <w:pStyle w:val="101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4677" w:type="dxa"/>
            <w:textDirection w:val="lrTb"/>
            <w:noWrap w:val="false"/>
          </w:tcPr>
          <w:p>
            <w:pPr>
              <w:pStyle w:val="101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2973" w:type="dxa"/>
            <w:textDirection w:val="lrTb"/>
            <w:noWrap w:val="false"/>
          </w:tcPr>
          <w:p>
            <w:pPr>
              <w:pStyle w:val="101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3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  <w:tr>
        <w:trPr/>
        <w:tc>
          <w:tcPr>
            <w:gridSpan w:val="3"/>
            <w:tcBorders/>
            <w:tcW w:w="10206" w:type="dxa"/>
            <w:textDirection w:val="lrTb"/>
            <w:noWrap w:val="false"/>
          </w:tcPr>
          <w:p>
            <w:pPr>
              <w:pStyle w:val="101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Профессиональная квалификационная группа 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pStyle w:val="101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учебно-вспомогательного персонала первого уровня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  <w:tr>
        <w:trPr>
          <w:trHeight w:val="976"/>
        </w:trPr>
        <w:tc>
          <w:tcPr>
            <w:tcBorders/>
            <w:tcW w:w="2556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Первый квалификационный уровень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4677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Секретарь учебной части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297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val="en-US"/>
              </w:rPr>
              <w:t xml:space="preserve">25 960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</w:tr>
      <w:tr>
        <w:trPr/>
        <w:tc>
          <w:tcPr>
            <w:gridSpan w:val="3"/>
            <w:tcBorders/>
            <w:tcW w:w="10206" w:type="dxa"/>
            <w:textDirection w:val="lrTb"/>
            <w:noWrap w:val="false"/>
          </w:tcPr>
          <w:p>
            <w:pPr>
              <w:pStyle w:val="101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Профессиональная квалификационная группа 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pStyle w:val="101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учебно-вспомогательного персонала второго уровня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  <w:tr>
        <w:trPr>
          <w:trHeight w:val="385"/>
        </w:trPr>
        <w:tc>
          <w:tcPr>
            <w:tcBorders/>
            <w:tcW w:w="2556" w:type="dxa"/>
            <w:vMerge w:val="restart"/>
            <w:textDirection w:val="lrTb"/>
            <w:noWrap w:val="false"/>
          </w:tcPr>
          <w:p>
            <w:pPr>
              <w:pStyle w:val="1019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Первый квалификационный уровень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4677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  <w:t xml:space="preserve">Дежурный по режиму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2973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val="en-US"/>
              </w:rPr>
              <w:t xml:space="preserve">26 090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</w:tr>
      <w:tr>
        <w:trPr>
          <w:trHeight w:val="667"/>
        </w:trPr>
        <w:tc>
          <w:tcPr>
            <w:tcBorders/>
            <w:tcW w:w="2556" w:type="dxa"/>
            <w:vMerge w:val="continue"/>
            <w:textDirection w:val="lrTb"/>
            <w:noWrap w:val="false"/>
          </w:tcPr>
          <w:p>
            <w:pPr>
              <w:pStyle w:val="1019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4677" w:type="dxa"/>
            <w:textDirection w:val="lrTb"/>
            <w:noWrap w:val="false"/>
          </w:tcPr>
          <w:p>
            <w:pPr>
              <w:pStyle w:val="1019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Младший воспитатель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2973" w:type="dxa"/>
            <w:vMerge w:val="continue"/>
            <w:textDirection w:val="lrTb"/>
            <w:noWrap w:val="false"/>
          </w:tcPr>
          <w:p>
            <w:pPr>
              <w:pStyle w:val="101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462"/>
        </w:trPr>
        <w:tc>
          <w:tcPr>
            <w:gridSpan w:val="3"/>
            <w:tcBorders/>
            <w:tcW w:w="10206" w:type="dxa"/>
            <w:textDirection w:val="lrTb"/>
            <w:noWrap w:val="false"/>
          </w:tcPr>
          <w:p>
            <w:pPr>
              <w:pStyle w:val="101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Профессиональная квалификационная группа 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pStyle w:val="101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должностей педагогических работников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  <w:tr>
        <w:trPr/>
        <w:tc>
          <w:tcPr>
            <w:tcBorders/>
            <w:tcW w:w="2556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Первый квалификационный уровень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4677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Инструктор по труду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2973" w:type="dxa"/>
            <w:vMerge w:val="restart"/>
            <w:textDirection w:val="lrTb"/>
            <w:noWrap w:val="false"/>
          </w:tcPr>
          <w:p>
            <w:pPr>
              <w:pStyle w:val="101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:lang w:val="en-US"/>
              </w:rPr>
              <w:t xml:space="preserve">27 390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  <w:tr>
        <w:trPr/>
        <w:tc>
          <w:tcPr>
            <w:tcBorders/>
            <w:tcW w:w="2556" w:type="dxa"/>
            <w:vMerge w:val="continue"/>
            <w:textDirection w:val="lrTb"/>
            <w:noWrap w:val="false"/>
          </w:tcPr>
          <w:p>
            <w:pPr>
              <w:pStyle w:val="101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4677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Инструктор по физической культуре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2973" w:type="dxa"/>
            <w:vMerge w:val="continue"/>
            <w:textDirection w:val="lrTb"/>
            <w:noWrap w:val="false"/>
          </w:tcPr>
          <w:p>
            <w:pPr>
              <w:pStyle w:val="101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2556" w:type="dxa"/>
            <w:vMerge w:val="continue"/>
            <w:textDirection w:val="lrTb"/>
            <w:noWrap w:val="false"/>
          </w:tcPr>
          <w:p>
            <w:pPr>
              <w:pStyle w:val="101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4677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Музыкальный руководитель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2973" w:type="dxa"/>
            <w:vMerge w:val="continue"/>
            <w:textDirection w:val="lrTb"/>
            <w:noWrap w:val="false"/>
          </w:tcPr>
          <w:p>
            <w:pPr>
              <w:pStyle w:val="101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334"/>
        </w:trPr>
        <w:tc>
          <w:tcPr>
            <w:tcBorders/>
            <w:tcW w:w="2556" w:type="dxa"/>
            <w:vMerge w:val="restart"/>
            <w:textDirection w:val="lrTb"/>
            <w:noWrap w:val="false"/>
          </w:tcPr>
          <w:p>
            <w:pPr>
              <w:pStyle w:val="1019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Второй квалификационный уровень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4677" w:type="dxa"/>
            <w:textDirection w:val="lrTb"/>
            <w:noWrap w:val="false"/>
          </w:tcPr>
          <w:p>
            <w:pPr>
              <w:pStyle w:val="1019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Концертмейстер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2973" w:type="dxa"/>
            <w:vMerge w:val="restart"/>
            <w:textDirection w:val="lrTb"/>
            <w:noWrap w:val="false"/>
          </w:tcPr>
          <w:p>
            <w:pPr>
              <w:pStyle w:val="101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:lang w:val="en-US"/>
              </w:rPr>
              <w:t xml:space="preserve">27 500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  <w:tr>
        <w:trPr>
          <w:trHeight w:val="334"/>
        </w:trPr>
        <w:tc>
          <w:tcPr>
            <w:tcBorders/>
            <w:tcW w:w="2556" w:type="dxa"/>
            <w:vMerge w:val="continue"/>
            <w:textDirection w:val="lrTb"/>
            <w:noWrap w:val="false"/>
          </w:tcPr>
          <w:p>
            <w:pPr>
              <w:pStyle w:val="1019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4677" w:type="dxa"/>
            <w:textDirection w:val="lrTb"/>
            <w:noWrap w:val="false"/>
          </w:tcPr>
          <w:p>
            <w:pPr>
              <w:pStyle w:val="1019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Педагог дополнительного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2973" w:type="dxa"/>
            <w:vMerge w:val="continue"/>
            <w:textDirection w:val="lrTb"/>
            <w:noWrap w:val="false"/>
          </w:tcPr>
          <w:p>
            <w:pPr>
              <w:pStyle w:val="101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334"/>
        </w:trPr>
        <w:tc>
          <w:tcPr>
            <w:tcBorders/>
            <w:tcW w:w="2556" w:type="dxa"/>
            <w:vMerge w:val="continue"/>
            <w:textDirection w:val="lrTb"/>
            <w:noWrap w:val="false"/>
          </w:tcPr>
          <w:p>
            <w:pPr>
              <w:pStyle w:val="1019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4677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Педагог-организатор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2973" w:type="dxa"/>
            <w:vMerge w:val="continue"/>
            <w:textDirection w:val="lrTb"/>
            <w:noWrap w:val="false"/>
          </w:tcPr>
          <w:p>
            <w:pPr>
              <w:pStyle w:val="101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334"/>
        </w:trPr>
        <w:tc>
          <w:tcPr>
            <w:tcBorders/>
            <w:tcW w:w="2556" w:type="dxa"/>
            <w:vMerge w:val="continue"/>
            <w:textDirection w:val="lrTb"/>
            <w:noWrap w:val="false"/>
          </w:tcPr>
          <w:p>
            <w:pPr>
              <w:pStyle w:val="1019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4677" w:type="dxa"/>
            <w:textDirection w:val="lrTb"/>
            <w:noWrap w:val="false"/>
          </w:tcPr>
          <w:p>
            <w:pPr>
              <w:pStyle w:val="1019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Социальный педагог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2973" w:type="dxa"/>
            <w:vMerge w:val="continue"/>
            <w:textDirection w:val="lrTb"/>
            <w:noWrap w:val="false"/>
          </w:tcPr>
          <w:p>
            <w:pPr>
              <w:pStyle w:val="101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334"/>
        </w:trPr>
        <w:tc>
          <w:tcPr>
            <w:tcBorders/>
            <w:tcW w:w="2556" w:type="dxa"/>
            <w:vMerge w:val="continue"/>
            <w:textDirection w:val="lrTb"/>
            <w:noWrap w:val="false"/>
          </w:tcPr>
          <w:p>
            <w:pPr>
              <w:pStyle w:val="1019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4677" w:type="dxa"/>
            <w:textDirection w:val="lrTb"/>
            <w:noWrap w:val="false"/>
          </w:tcPr>
          <w:p>
            <w:pPr>
              <w:pStyle w:val="1019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Тренер-преподаватель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2973" w:type="dxa"/>
            <w:vMerge w:val="continue"/>
            <w:textDirection w:val="lrTb"/>
            <w:noWrap w:val="false"/>
          </w:tcPr>
          <w:p>
            <w:pPr>
              <w:pStyle w:val="101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334"/>
        </w:trPr>
        <w:tc>
          <w:tcPr>
            <w:tcBorders/>
            <w:tcW w:w="2556" w:type="dxa"/>
            <w:vMerge w:val="continue"/>
            <w:textDirection w:val="lrTb"/>
            <w:noWrap w:val="false"/>
          </w:tcPr>
          <w:p>
            <w:pPr>
              <w:pStyle w:val="1019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4677" w:type="dxa"/>
            <w:textDirection w:val="lrTb"/>
            <w:noWrap w:val="false"/>
          </w:tcPr>
          <w:p>
            <w:pPr>
              <w:pStyle w:val="1019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Инструктор-методист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2973" w:type="dxa"/>
            <w:vMerge w:val="continue"/>
            <w:textDirection w:val="lrTb"/>
            <w:noWrap w:val="false"/>
          </w:tcPr>
          <w:p>
            <w:pPr>
              <w:pStyle w:val="101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334"/>
        </w:trPr>
        <w:tc>
          <w:tcPr>
            <w:tcBorders/>
            <w:tcW w:w="2556" w:type="dxa"/>
            <w:vMerge w:val="restart"/>
            <w:textDirection w:val="lrTb"/>
            <w:noWrap w:val="false"/>
          </w:tcPr>
          <w:p>
            <w:pPr>
              <w:pStyle w:val="1019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Третий квалификационный уровень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4677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Методист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2973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val="en-US"/>
              </w:rPr>
              <w:t xml:space="preserve">27 650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</w:tr>
      <w:tr>
        <w:trPr>
          <w:trHeight w:val="334"/>
        </w:trPr>
        <w:tc>
          <w:tcPr>
            <w:tcBorders/>
            <w:tcW w:w="2556" w:type="dxa"/>
            <w:vMerge w:val="continue"/>
            <w:textDirection w:val="lrTb"/>
            <w:noWrap w:val="false"/>
          </w:tcPr>
          <w:p>
            <w:pPr>
              <w:pStyle w:val="1019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4677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Старший инструктор-методист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2973" w:type="dxa"/>
            <w:vMerge w:val="continue"/>
            <w:textDirection w:val="lrTb"/>
            <w:noWrap w:val="false"/>
          </w:tcPr>
          <w:p>
            <w:pPr>
              <w:pStyle w:val="101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0"/>
        </w:trPr>
        <w:tc>
          <w:tcPr>
            <w:tcBorders/>
            <w:tcW w:w="2556" w:type="dxa"/>
            <w:vMerge w:val="continue"/>
            <w:textDirection w:val="lrTb"/>
            <w:noWrap w:val="false"/>
          </w:tcPr>
          <w:p>
            <w:pPr>
              <w:pStyle w:val="1019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4677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Воспитатель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2973" w:type="dxa"/>
            <w:vMerge w:val="continue"/>
            <w:textDirection w:val="lrTb"/>
            <w:noWrap w:val="false"/>
          </w:tcPr>
          <w:p>
            <w:pPr>
              <w:pStyle w:val="101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0"/>
        </w:trPr>
        <w:tc>
          <w:tcPr>
            <w:tcBorders/>
            <w:tcW w:w="2556" w:type="dxa"/>
            <w:vMerge w:val="continue"/>
            <w:textDirection w:val="lrTb"/>
            <w:noWrap w:val="false"/>
          </w:tcPr>
          <w:p>
            <w:pPr>
              <w:pStyle w:val="1019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4677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Старший тренер-преподаватель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2973" w:type="dxa"/>
            <w:vMerge w:val="continue"/>
            <w:textDirection w:val="lrTb"/>
            <w:noWrap w:val="false"/>
          </w:tcPr>
          <w:p>
            <w:pPr>
              <w:pStyle w:val="101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0"/>
        </w:trPr>
        <w:tc>
          <w:tcPr>
            <w:tcBorders/>
            <w:tcW w:w="2556" w:type="dxa"/>
            <w:vMerge w:val="continue"/>
            <w:textDirection w:val="lrTb"/>
            <w:noWrap w:val="false"/>
          </w:tcPr>
          <w:p>
            <w:pPr>
              <w:pStyle w:val="1019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4677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Педагог-психолог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2973" w:type="dxa"/>
            <w:vMerge w:val="continue"/>
            <w:textDirection w:val="lrTb"/>
            <w:noWrap w:val="false"/>
          </w:tcPr>
          <w:p>
            <w:pPr>
              <w:pStyle w:val="101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334"/>
        </w:trPr>
        <w:tc>
          <w:tcPr>
            <w:tcBorders/>
            <w:tcW w:w="2556" w:type="dxa"/>
            <w:vMerge w:val="restart"/>
            <w:textDirection w:val="lrTb"/>
            <w:noWrap w:val="false"/>
          </w:tcPr>
          <w:p>
            <w:pPr>
              <w:pStyle w:val="1019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Четвертый квалификационный уровень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4677" w:type="dxa"/>
            <w:textDirection w:val="lrTb"/>
            <w:noWrap w:val="false"/>
          </w:tcPr>
          <w:p>
            <w:pPr>
              <w:pStyle w:val="1019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Старший методист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2973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val="en-US"/>
              </w:rPr>
              <w:t xml:space="preserve">27 780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</w:tr>
      <w:tr>
        <w:trPr>
          <w:trHeight w:val="172"/>
        </w:trPr>
        <w:tc>
          <w:tcPr>
            <w:tcBorders/>
            <w:tcW w:w="2556" w:type="dxa"/>
            <w:vMerge w:val="continue"/>
            <w:textDirection w:val="lrTb"/>
            <w:noWrap w:val="false"/>
          </w:tcPr>
          <w:p>
            <w:pPr>
              <w:pStyle w:val="1019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4677" w:type="dxa"/>
            <w:textDirection w:val="lrTb"/>
            <w:noWrap w:val="false"/>
          </w:tcPr>
          <w:p>
            <w:pPr>
              <w:pStyle w:val="1019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Учитель-логопед (логопед)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2973" w:type="dxa"/>
            <w:vMerge w:val="continue"/>
            <w:textDirection w:val="lrTb"/>
            <w:noWrap w:val="false"/>
          </w:tcPr>
          <w:p>
            <w:pPr>
              <w:pStyle w:val="101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460"/>
        </w:trPr>
        <w:tc>
          <w:tcPr>
            <w:tcBorders/>
            <w:tcW w:w="2556" w:type="dxa"/>
            <w:vMerge w:val="continue"/>
            <w:textDirection w:val="lrTb"/>
            <w:noWrap w:val="false"/>
          </w:tcPr>
          <w:p>
            <w:pPr>
              <w:pStyle w:val="1019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4677" w:type="dxa"/>
            <w:textDirection w:val="lrTb"/>
            <w:noWrap w:val="false"/>
          </w:tcPr>
          <w:p>
            <w:pPr>
              <w:pStyle w:val="1019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Старший воспитатель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2973" w:type="dxa"/>
            <w:vMerge w:val="continue"/>
            <w:textDirection w:val="lrTb"/>
            <w:noWrap w:val="false"/>
          </w:tcPr>
          <w:p>
            <w:pPr>
              <w:pStyle w:val="101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gridSpan w:val="3"/>
            <w:tcBorders/>
            <w:tcW w:w="10206" w:type="dxa"/>
            <w:textDirection w:val="lrTb"/>
            <w:noWrap w:val="false"/>
          </w:tcPr>
          <w:p>
            <w:pPr>
              <w:pStyle w:val="101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Профессиональная квалификационная группа 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pStyle w:val="101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должностей руководителей структурных подразделений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  <w:tr>
        <w:trPr/>
        <w:tc>
          <w:tcPr>
            <w:tcBorders/>
            <w:tcW w:w="2556" w:type="dxa"/>
            <w:textDirection w:val="lrTb"/>
            <w:noWrap w:val="false"/>
          </w:tcPr>
          <w:p>
            <w:pPr>
              <w:pStyle w:val="1019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Первый квалификационный уровень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4677" w:type="dxa"/>
            <w:textDirection w:val="lrTb"/>
            <w:noWrap w:val="false"/>
          </w:tcPr>
          <w:p>
            <w:pPr>
              <w:pStyle w:val="1019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Заведующий (начальник) структурным подразделением: кабинетом, лабораторией, отделом, отделением, сектором, учебно-консультационным 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пунктом, учебной (учебно-производственной) мастерской и другими структурными подразделениями, реализующими образовательную программу дополнительного образования детей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297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val="en-US"/>
              </w:rPr>
              <w:t xml:space="preserve">27 830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</w:tr>
      <w:tr>
        <w:trPr/>
        <w:tc>
          <w:tcPr>
            <w:tcBorders/>
            <w:tcW w:w="2556" w:type="dxa"/>
            <w:textDirection w:val="lrTb"/>
            <w:noWrap w:val="false"/>
          </w:tcPr>
          <w:p>
            <w:pPr>
              <w:pStyle w:val="1019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Второй квалификационный уровень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4677" w:type="dxa"/>
            <w:textDirection w:val="lrTb"/>
            <w:noWrap w:val="false"/>
          </w:tcPr>
          <w:p>
            <w:pPr>
              <w:pStyle w:val="1019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Заведующий (начальник) обособленным структурным подразделением, реализующим образовательную программу и образовательную программу дополнительного образования детей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297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val="en-US"/>
              </w:rPr>
              <w:t xml:space="preserve">27 890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</w:tr>
    </w:tbl>
    <w:p>
      <w:pPr>
        <w:pStyle w:val="1019"/>
        <w:pBdr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1019"/>
        <w:pBdr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Базовый оклад работников, занимающих должности «специалист по работе с молодежью» и «специалист по социальной работе с молодежью», составляет</w:t>
      </w:r>
      <w:r>
        <w:rPr>
          <w:rFonts w:ascii="Times New Roman" w:hAnsi="Times New Roman" w:cs="Times New Roman"/>
          <w:sz w:val="28"/>
          <w:szCs w:val="28"/>
          <w:highlight w:val="none"/>
        </w:rPr>
        <w:br/>
      </w:r>
      <w:r>
        <w:rPr>
          <w:rFonts w:ascii="Times New Roman" w:hAnsi="Times New Roman" w:cs="Times New Roman"/>
          <w:sz w:val="28"/>
          <w:szCs w:val="28"/>
          <w:highlight w:val="none"/>
          <w:lang w:val="en-US"/>
        </w:rPr>
        <w:t xml:space="preserve">27 500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рублей.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1019"/>
        <w:pBdr/>
        <w:tabs>
          <w:tab w:val="right" w:leader="none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2.3. Базовые оклады медицинских работников организаций молодежной политики устанавливаются в следующих размерах: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1019"/>
        <w:pBdr/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tbl>
      <w:tblPr>
        <w:tblInd w:w="-147" w:type="dxa"/>
        <w:tblW w:w="10348" w:type="dxa"/>
        <w:tblBorders>
          <w:bottom w:val="none" w:color="auto" w:sz="0" w:space="0"/>
        </w:tblBorders>
        <w:tblLook w:val="04A0" w:firstRow="1" w:lastRow="0" w:firstColumn="1" w:lastColumn="0" w:noHBand="0" w:noVBand="1"/>
        <w:tblStyle w:val="1010"/>
      </w:tblPr>
      <w:tblGrid>
        <w:gridCol w:w="2618"/>
        <w:gridCol w:w="4612"/>
        <w:gridCol w:w="3118"/>
      </w:tblGrid>
      <w:tr>
        <w:trPr>
          <w:tblHeader/>
        </w:trPr>
        <w:tc>
          <w:tcPr>
            <w:tcBorders/>
            <w:tcW w:w="2618" w:type="dxa"/>
            <w:textDirection w:val="lrTb"/>
            <w:noWrap w:val="false"/>
          </w:tcPr>
          <w:p>
            <w:pPr>
              <w:pStyle w:val="101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Квалификационный уровень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4612" w:type="dxa"/>
            <w:textDirection w:val="lrTb"/>
            <w:noWrap w:val="false"/>
          </w:tcPr>
          <w:p>
            <w:pPr>
              <w:pStyle w:val="101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Наименование должности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3118" w:type="dxa"/>
            <w:textDirection w:val="lrTb"/>
            <w:noWrap w:val="false"/>
          </w:tcPr>
          <w:p>
            <w:pPr>
              <w:pStyle w:val="101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Размер базового оклада в месяц, рублей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</w:tbl>
    <w:p>
      <w:pPr>
        <w:pBdr/>
        <w:spacing w:after="0" w:line="240" w:lineRule="auto"/>
        <w:ind/>
        <w:rPr>
          <w:rFonts w:asciiTheme="majorBidi" w:hAnsiTheme="majorBidi" w:cstheme="majorBidi"/>
          <w:sz w:val="2"/>
          <w:szCs w:val="2"/>
          <w:highlight w:val="none"/>
        </w:rPr>
      </w:pPr>
      <w:r>
        <w:rPr>
          <w:rFonts w:asciiTheme="majorBidi" w:hAnsiTheme="majorBidi" w:cstheme="majorBidi"/>
          <w:sz w:val="2"/>
          <w:szCs w:val="2"/>
          <w:highlight w:val="none"/>
        </w:rPr>
      </w:r>
      <w:r>
        <w:rPr>
          <w:rFonts w:asciiTheme="majorBidi" w:hAnsiTheme="majorBidi" w:cstheme="majorBidi"/>
          <w:sz w:val="2"/>
          <w:szCs w:val="2"/>
          <w:highlight w:val="none"/>
        </w:rPr>
      </w:r>
      <w:r>
        <w:rPr>
          <w:rFonts w:asciiTheme="majorBidi" w:hAnsiTheme="majorBidi" w:cstheme="majorBidi"/>
          <w:sz w:val="2"/>
          <w:szCs w:val="2"/>
          <w:highlight w:val="none"/>
        </w:rPr>
      </w:r>
    </w:p>
    <w:tbl>
      <w:tblPr>
        <w:tblInd w:w="-147" w:type="dxa"/>
        <w:tblW w:w="10348" w:type="dxa"/>
        <w:tblBorders/>
        <w:tblLook w:val="04A0" w:firstRow="1" w:lastRow="0" w:firstColumn="1" w:lastColumn="0" w:noHBand="0" w:noVBand="1"/>
        <w:tblStyle w:val="1010"/>
      </w:tblPr>
      <w:tblGrid>
        <w:gridCol w:w="2618"/>
        <w:gridCol w:w="4612"/>
        <w:gridCol w:w="3118"/>
      </w:tblGrid>
      <w:tr>
        <w:trPr>
          <w:tblHeader/>
        </w:trPr>
        <w:tc>
          <w:tcPr>
            <w:tcBorders/>
            <w:tcW w:w="2618" w:type="dxa"/>
            <w:textDirection w:val="lrTb"/>
            <w:noWrap w:val="false"/>
          </w:tcPr>
          <w:p>
            <w:pPr>
              <w:pStyle w:val="101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4612" w:type="dxa"/>
            <w:textDirection w:val="lrTb"/>
            <w:noWrap w:val="false"/>
          </w:tcPr>
          <w:p>
            <w:pPr>
              <w:pStyle w:val="101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3118" w:type="dxa"/>
            <w:textDirection w:val="lrTb"/>
            <w:noWrap w:val="false"/>
          </w:tcPr>
          <w:p>
            <w:pPr>
              <w:pStyle w:val="101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3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  <w:tr>
        <w:trPr/>
        <w:tc>
          <w:tcPr>
            <w:gridSpan w:val="3"/>
            <w:tcBorders/>
            <w:tcW w:w="10348" w:type="dxa"/>
            <w:textDirection w:val="lrTb"/>
            <w:noWrap w:val="false"/>
          </w:tcPr>
          <w:p>
            <w:pPr>
              <w:pStyle w:val="101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Профессиональная квалификационная группа 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pStyle w:val="101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«Средний медицинский и фармацевтический персонал»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  <w:tr>
        <w:trPr>
          <w:trHeight w:val="1008"/>
        </w:trPr>
        <w:tc>
          <w:tcPr>
            <w:tcBorders/>
            <w:tcW w:w="2618" w:type="dxa"/>
            <w:textDirection w:val="lrTb"/>
            <w:noWrap w:val="false"/>
          </w:tcPr>
          <w:p>
            <w:pPr>
              <w:pStyle w:val="1019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Второй квалификационный уровень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4612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Медицинская сестра диетическая (медицинский брат диетический)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311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:lang w:val="en-US"/>
              </w:rPr>
              <w:t xml:space="preserve">27 210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  <w:tr>
        <w:trPr>
          <w:trHeight w:val="495"/>
        </w:trPr>
        <w:tc>
          <w:tcPr>
            <w:tcBorders/>
            <w:tcW w:w="2618" w:type="dxa"/>
            <w:vMerge w:val="restart"/>
            <w:textDirection w:val="lrTb"/>
            <w:noWrap w:val="false"/>
          </w:tcPr>
          <w:p>
            <w:pPr>
              <w:pStyle w:val="1019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Третий квалификационный уровень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4612" w:type="dxa"/>
            <w:textDirection w:val="lrTb"/>
            <w:noWrap w:val="false"/>
          </w:tcPr>
          <w:p>
            <w:pPr>
              <w:pStyle w:val="1019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Медицинская сестра (медицинский брат)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3118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:lang w:val="en-US"/>
              </w:rPr>
              <w:t xml:space="preserve">27 760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  <w:tr>
        <w:trPr>
          <w:trHeight w:val="495"/>
        </w:trPr>
        <w:tc>
          <w:tcPr>
            <w:tcBorders/>
            <w:tcW w:w="2618" w:type="dxa"/>
            <w:vMerge w:val="continue"/>
            <w:textDirection w:val="lrTb"/>
            <w:noWrap w:val="false"/>
          </w:tcPr>
          <w:p>
            <w:pPr>
              <w:pStyle w:val="1019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4612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Медицинская сестра по массажу (медицинский брат по массажу)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3118" w:type="dxa"/>
            <w:vMerge w:val="continue"/>
            <w:textDirection w:val="lrTb"/>
            <w:noWrap w:val="false"/>
          </w:tcPr>
          <w:p>
            <w:pPr>
              <w:pStyle w:val="1019"/>
              <w:pBdr/>
              <w:spacing/>
              <w:ind/>
              <w:jc w:val="center"/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</w:r>
          </w:p>
        </w:tc>
      </w:tr>
      <w:tr>
        <w:trPr>
          <w:trHeight w:val="503"/>
        </w:trPr>
        <w:tc>
          <w:tcPr>
            <w:gridSpan w:val="3"/>
            <w:tcBorders/>
            <w:tcW w:w="10348" w:type="dxa"/>
            <w:textDirection w:val="lrTb"/>
            <w:noWrap w:val="false"/>
          </w:tcPr>
          <w:p>
            <w:pPr>
              <w:pStyle w:val="1019"/>
              <w:pBdr/>
              <w:spacing/>
              <w:ind/>
              <w:jc w:val="center"/>
              <w:rPr>
                <w:rFonts w:ascii="Times New Roman" w:hAnsi="Times New Roman" w:cs="Times New Roman" w:eastAsiaTheme="minorHAnsi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highlight w:val="none"/>
                <w:lang w:eastAsia="en-US"/>
              </w:rPr>
              <w:t xml:space="preserve">Профессиональная квалификационная группа </w:t>
            </w:r>
            <w:r>
              <w:rPr>
                <w:rFonts w:ascii="Times New Roman" w:hAnsi="Times New Roman" w:cs="Times New Roman" w:eastAsiaTheme="minorHAnsi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 w:eastAsiaTheme="minorHAnsi"/>
                <w:sz w:val="28"/>
                <w:szCs w:val="28"/>
                <w:highlight w:val="none"/>
              </w:rPr>
            </w:r>
          </w:p>
          <w:p>
            <w:pPr>
              <w:pStyle w:val="1019"/>
              <w:pBdr/>
              <w:spacing/>
              <w:ind/>
              <w:jc w:val="center"/>
              <w:rPr>
                <w:rFonts w:ascii="Times New Roman" w:hAnsi="Times New Roman" w:cs="Times New Roman" w:eastAsiaTheme="minorHAnsi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highlight w:val="none"/>
                <w:lang w:eastAsia="en-US"/>
              </w:rPr>
              <w:t xml:space="preserve">«Врачи и провизоры»</w:t>
            </w:r>
            <w:r>
              <w:rPr>
                <w:rFonts w:ascii="Times New Roman" w:hAnsi="Times New Roman" w:cs="Times New Roman" w:eastAsiaTheme="minorHAnsi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 w:eastAsiaTheme="minorHAnsi"/>
                <w:sz w:val="28"/>
                <w:szCs w:val="28"/>
                <w:highlight w:val="none"/>
              </w:rPr>
            </w:r>
          </w:p>
        </w:tc>
      </w:tr>
      <w:tr>
        <w:trPr>
          <w:trHeight w:val="987"/>
        </w:trPr>
        <w:tc>
          <w:tcPr>
            <w:tcBorders/>
            <w:tcW w:w="2618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Второй квалификационный уровень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4612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Врачи-специалисты (кроме врачей-специалистов, отнесенных к третьему и четвертому квалификационным уровням)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311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:lang w:val="en-US"/>
              </w:rPr>
              <w:t xml:space="preserve">32 090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</w:tbl>
    <w:p>
      <w:pPr>
        <w:pStyle w:val="1019"/>
        <w:pBdr/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1019"/>
        <w:pBdr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Для медицинских работников организаций молодежной политики применяется коэффициент приоритета отрасли к базовому окладу. Размер коэффициента приоритета отрасли составляет 1,1.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1019"/>
        <w:pBdr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Применение указанного коэффициента к базовому окладу образует новый базовый оклад и учитывается при начислении выплат компенсационного и стимулирующего характера.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1019"/>
        <w:pBdr/>
        <w:tabs>
          <w:tab w:val="right" w:leader="none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2.4. Базовые оклады работников культуры организаций молодежной политики устанавливаются в следующих размерах: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1019"/>
        <w:pBdr/>
        <w:spacing w:line="360" w:lineRule="auto"/>
        <w:ind w:left="862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tbl>
      <w:tblPr>
        <w:tblInd w:w="-5" w:type="dxa"/>
        <w:tblW w:w="10206" w:type="dxa"/>
        <w:tblBorders>
          <w:bottom w:val="none" w:color="auto" w:sz="0" w:space="0"/>
        </w:tblBorders>
        <w:tblLook w:val="04A0" w:firstRow="1" w:lastRow="0" w:firstColumn="1" w:lastColumn="0" w:noHBand="0" w:noVBand="1"/>
        <w:tblStyle w:val="1010"/>
      </w:tblPr>
      <w:tblGrid>
        <w:gridCol w:w="7230"/>
        <w:gridCol w:w="2976"/>
      </w:tblGrid>
      <w:tr>
        <w:trPr>
          <w:trHeight w:val="940"/>
          <w:tblHeader/>
        </w:trPr>
        <w:tc>
          <w:tcPr>
            <w:tcBorders/>
            <w:tcW w:w="7230" w:type="dxa"/>
            <w:textDirection w:val="lrTb"/>
            <w:noWrap w:val="false"/>
          </w:tcPr>
          <w:p>
            <w:pPr>
              <w:pStyle w:val="101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Наименование должности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2976" w:type="dxa"/>
            <w:textDirection w:val="lrTb"/>
            <w:noWrap w:val="false"/>
          </w:tcPr>
          <w:p>
            <w:pPr>
              <w:pStyle w:val="101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Размер базового оклада в месяц, рублей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</w:tbl>
    <w:p>
      <w:pPr>
        <w:pStyle w:val="1019"/>
        <w:pBdr/>
        <w:spacing/>
        <w:ind/>
        <w:jc w:val="center"/>
        <w:rPr>
          <w:rFonts w:ascii="Times New Roman" w:hAnsi="Times New Roman" w:cs="Times New Roman"/>
          <w:sz w:val="2"/>
          <w:szCs w:val="2"/>
          <w:highlight w:val="none"/>
        </w:rPr>
      </w:pPr>
      <w:r>
        <w:rPr>
          <w:rFonts w:ascii="Times New Roman" w:hAnsi="Times New Roman" w:cs="Times New Roman"/>
          <w:sz w:val="2"/>
          <w:szCs w:val="2"/>
          <w:highlight w:val="none"/>
        </w:rPr>
      </w:r>
      <w:r>
        <w:rPr>
          <w:rFonts w:ascii="Times New Roman" w:hAnsi="Times New Roman" w:cs="Times New Roman"/>
          <w:sz w:val="2"/>
          <w:szCs w:val="2"/>
          <w:highlight w:val="none"/>
        </w:rPr>
      </w:r>
      <w:r>
        <w:rPr>
          <w:rFonts w:ascii="Times New Roman" w:hAnsi="Times New Roman" w:cs="Times New Roman"/>
          <w:sz w:val="2"/>
          <w:szCs w:val="2"/>
          <w:highlight w:val="none"/>
        </w:rPr>
      </w:r>
    </w:p>
    <w:tbl>
      <w:tblPr>
        <w:tblInd w:w="-5" w:type="dxa"/>
        <w:tblW w:w="10206" w:type="dxa"/>
        <w:tblBorders/>
        <w:tblLook w:val="04A0" w:firstRow="1" w:lastRow="0" w:firstColumn="1" w:lastColumn="0" w:noHBand="0" w:noVBand="1"/>
        <w:tblStyle w:val="1010"/>
      </w:tblPr>
      <w:tblGrid>
        <w:gridCol w:w="7230"/>
        <w:gridCol w:w="2976"/>
      </w:tblGrid>
      <w:tr>
        <w:trPr>
          <w:tblHeader/>
        </w:trPr>
        <w:tc>
          <w:tcPr>
            <w:tcBorders/>
            <w:tcW w:w="7230" w:type="dxa"/>
            <w:textDirection w:val="lrTb"/>
            <w:noWrap w:val="false"/>
          </w:tcPr>
          <w:p>
            <w:pPr>
              <w:pStyle w:val="101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2976" w:type="dxa"/>
            <w:textDirection w:val="lrTb"/>
            <w:noWrap w:val="false"/>
          </w:tcPr>
          <w:p>
            <w:pPr>
              <w:pStyle w:val="101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  <w:tr>
        <w:trPr>
          <w:trHeight w:val="732"/>
        </w:trPr>
        <w:tc>
          <w:tcPr>
            <w:gridSpan w:val="2"/>
            <w:tcBorders/>
            <w:tcW w:w="10206" w:type="dxa"/>
            <w:textDirection w:val="lrTb"/>
            <w:noWrap w:val="false"/>
          </w:tcPr>
          <w:p>
            <w:pPr>
              <w:pStyle w:val="1019"/>
              <w:pBdr/>
              <w:spacing/>
              <w:ind/>
              <w:jc w:val="center"/>
              <w:rPr>
                <w:rFonts w:ascii="Times New Roman" w:hAnsi="Times New Roman" w:cs="Times New Roman" w:eastAsiaTheme="minorHAnsi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highlight w:val="none"/>
                <w:lang w:eastAsia="en-US"/>
              </w:rPr>
              <w:t xml:space="preserve">Профессиональная квалификационная группа </w:t>
            </w:r>
            <w:r>
              <w:rPr>
                <w:rFonts w:ascii="Times New Roman" w:hAnsi="Times New Roman" w:cs="Times New Roman" w:eastAsiaTheme="minorHAnsi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 w:eastAsiaTheme="minorHAnsi"/>
                <w:sz w:val="28"/>
                <w:szCs w:val="28"/>
                <w:highlight w:val="none"/>
              </w:rPr>
            </w:r>
          </w:p>
          <w:p>
            <w:pPr>
              <w:pStyle w:val="1019"/>
              <w:pBdr/>
              <w:spacing/>
              <w:ind/>
              <w:jc w:val="center"/>
              <w:rPr>
                <w:rFonts w:ascii="Times New Roman" w:hAnsi="Times New Roman" w:cs="Times New Roman" w:eastAsiaTheme="minorHAnsi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highlight w:val="none"/>
                <w:lang w:eastAsia="en-US"/>
              </w:rPr>
              <w:t xml:space="preserve">«Должности технических исполнителей и артистов вспомогательного состава»</w:t>
            </w:r>
            <w:r>
              <w:rPr>
                <w:rFonts w:ascii="Times New Roman" w:hAnsi="Times New Roman" w:cs="Times New Roman" w:eastAsiaTheme="minorHAnsi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 w:eastAsiaTheme="minorHAnsi"/>
                <w:sz w:val="28"/>
                <w:szCs w:val="28"/>
                <w:highlight w:val="none"/>
              </w:rPr>
            </w:r>
          </w:p>
        </w:tc>
      </w:tr>
      <w:tr>
        <w:trPr>
          <w:trHeight w:val="503"/>
        </w:trPr>
        <w:tc>
          <w:tcPr>
            <w:tcBorders/>
            <w:tcW w:w="7230" w:type="dxa"/>
            <w:textDirection w:val="lrTb"/>
            <w:noWrap w:val="false"/>
          </w:tcPr>
          <w:p>
            <w:pPr>
              <w:pStyle w:val="1019"/>
              <w:pBdr/>
              <w:spacing/>
              <w:ind/>
              <w:rPr>
                <w:rFonts w:ascii="Times New Roman" w:hAnsi="Times New Roman" w:cs="Times New Roman" w:eastAsiaTheme="minorHAnsi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highlight w:val="none"/>
                <w:lang w:eastAsia="en-US"/>
              </w:rPr>
              <w:t xml:space="preserve">Контролер билетов</w:t>
            </w:r>
            <w:r>
              <w:rPr>
                <w:rFonts w:ascii="Times New Roman" w:hAnsi="Times New Roman" w:cs="Times New Roman" w:eastAsiaTheme="minorHAnsi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 w:eastAsiaTheme="minorHAnsi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297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:lang w:val="en-US"/>
              </w:rPr>
              <w:t xml:space="preserve">26 900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  <w:tr>
        <w:trPr>
          <w:trHeight w:val="695"/>
        </w:trPr>
        <w:tc>
          <w:tcPr>
            <w:gridSpan w:val="2"/>
            <w:tcBorders/>
            <w:tcW w:w="10206" w:type="dxa"/>
            <w:textDirection w:val="lrTb"/>
            <w:noWrap w:val="false"/>
          </w:tcPr>
          <w:p>
            <w:pPr>
              <w:pStyle w:val="1019"/>
              <w:pBdr/>
              <w:spacing/>
              <w:ind/>
              <w:jc w:val="center"/>
              <w:rPr>
                <w:rFonts w:ascii="Times New Roman" w:hAnsi="Times New Roman" w:cs="Times New Roman" w:eastAsiaTheme="minorHAnsi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highlight w:val="none"/>
                <w:lang w:eastAsia="en-US"/>
              </w:rPr>
              <w:t xml:space="preserve">Профессиональная квалификационная группа </w:t>
            </w:r>
            <w:r>
              <w:rPr>
                <w:rFonts w:ascii="Times New Roman" w:hAnsi="Times New Roman" w:cs="Times New Roman" w:eastAsiaTheme="minorHAnsi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 w:eastAsiaTheme="minorHAnsi"/>
                <w:sz w:val="28"/>
                <w:szCs w:val="28"/>
                <w:highlight w:val="none"/>
              </w:rPr>
            </w:r>
          </w:p>
          <w:p>
            <w:pPr>
              <w:pStyle w:val="1019"/>
              <w:pBdr/>
              <w:spacing/>
              <w:ind/>
              <w:jc w:val="center"/>
              <w:rPr>
                <w:rFonts w:ascii="Times New Roman" w:hAnsi="Times New Roman" w:cs="Times New Roman" w:eastAsiaTheme="minorHAnsi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highlight w:val="none"/>
                <w:lang w:eastAsia="en-US"/>
              </w:rPr>
              <w:t xml:space="preserve">«Должности работников культуры, искусства и кинематографии среднего звена»</w:t>
            </w:r>
            <w:r>
              <w:rPr>
                <w:rFonts w:ascii="Times New Roman" w:hAnsi="Times New Roman" w:cs="Times New Roman" w:eastAsiaTheme="minorHAnsi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 w:eastAsiaTheme="minorHAnsi"/>
                <w:sz w:val="28"/>
                <w:szCs w:val="28"/>
                <w:highlight w:val="none"/>
              </w:rPr>
            </w:r>
          </w:p>
        </w:tc>
      </w:tr>
      <w:tr>
        <w:trPr>
          <w:trHeight w:val="421"/>
        </w:trPr>
        <w:tc>
          <w:tcPr>
            <w:tcBorders/>
            <w:tcW w:w="7230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Аккомпаниатор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2976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:lang w:val="en-US"/>
              </w:rPr>
              <w:t xml:space="preserve">27 450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  <w:tr>
        <w:trPr>
          <w:trHeight w:val="421"/>
        </w:trPr>
        <w:tc>
          <w:tcPr>
            <w:tcBorders/>
            <w:tcW w:w="7230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Заведующий костюмерной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2976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trHeight w:val="421"/>
        </w:trPr>
        <w:tc>
          <w:tcPr>
            <w:tcBorders/>
            <w:tcW w:w="7230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Культорганизатор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2976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trHeight w:val="421"/>
        </w:trPr>
        <w:tc>
          <w:tcPr>
            <w:tcBorders/>
            <w:tcW w:w="7230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Руководитель кружка, любительского объединения, клуба по интересам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2976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trHeight w:val="794"/>
        </w:trPr>
        <w:tc>
          <w:tcPr>
            <w:gridSpan w:val="2"/>
            <w:tcBorders/>
            <w:tcW w:w="10206" w:type="dxa"/>
            <w:textDirection w:val="lrTb"/>
            <w:noWrap w:val="false"/>
          </w:tcPr>
          <w:p>
            <w:pPr>
              <w:pStyle w:val="1019"/>
              <w:pBdr/>
              <w:spacing/>
              <w:ind/>
              <w:jc w:val="center"/>
              <w:rPr>
                <w:rFonts w:ascii="Times New Roman" w:hAnsi="Times New Roman" w:cs="Times New Roman" w:eastAsiaTheme="minorHAnsi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highlight w:val="none"/>
                <w:lang w:eastAsia="en-US"/>
              </w:rPr>
              <w:t xml:space="preserve">Профессиональная квалификационная группа </w:t>
            </w:r>
            <w:r>
              <w:rPr>
                <w:rFonts w:ascii="Times New Roman" w:hAnsi="Times New Roman" w:cs="Times New Roman" w:eastAsiaTheme="minorHAnsi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 w:eastAsiaTheme="minorHAnsi"/>
                <w:sz w:val="28"/>
                <w:szCs w:val="28"/>
                <w:highlight w:val="none"/>
              </w:rPr>
            </w:r>
          </w:p>
          <w:p>
            <w:pPr>
              <w:pStyle w:val="1019"/>
              <w:pBdr/>
              <w:spacing/>
              <w:ind/>
              <w:jc w:val="center"/>
              <w:rPr>
                <w:rFonts w:ascii="Times New Roman" w:hAnsi="Times New Roman" w:cs="Times New Roman" w:eastAsiaTheme="minorHAnsi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highlight w:val="none"/>
                <w:lang w:eastAsia="en-US"/>
              </w:rPr>
              <w:t xml:space="preserve">«Должности работников культуры, искусства и кинематографии ведущего звена»</w:t>
            </w:r>
            <w:r>
              <w:rPr>
                <w:rFonts w:ascii="Times New Roman" w:hAnsi="Times New Roman" w:cs="Times New Roman" w:eastAsiaTheme="minorHAnsi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 w:eastAsiaTheme="minorHAnsi"/>
                <w:sz w:val="28"/>
                <w:szCs w:val="28"/>
                <w:highlight w:val="none"/>
              </w:rPr>
            </w:r>
          </w:p>
        </w:tc>
      </w:tr>
      <w:tr>
        <w:trPr>
          <w:trHeight w:val="421"/>
        </w:trPr>
        <w:tc>
          <w:tcPr>
            <w:tcBorders/>
            <w:tcW w:w="7230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Аккомпаниатор-концертмейстер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2976" w:type="dxa"/>
            <w:vAlign w:val="top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:lang w:val="en-US"/>
              </w:rPr>
              <w:t xml:space="preserve">28 000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14:ligatures w14:val="none"/>
              </w:rPr>
            </w:r>
          </w:p>
        </w:tc>
      </w:tr>
      <w:tr>
        <w:trPr>
          <w:trHeight w:val="421"/>
        </w:trPr>
        <w:tc>
          <w:tcPr>
            <w:tcBorders/>
            <w:tcW w:w="7230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Звукооператор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2976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trHeight w:val="421"/>
        </w:trPr>
        <w:tc>
          <w:tcPr>
            <w:tcBorders/>
            <w:tcW w:w="7230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Кинооператор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2976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trHeight w:val="748"/>
        </w:trPr>
        <w:tc>
          <w:tcPr>
            <w:tcBorders/>
            <w:tcW w:w="7230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Редактор библиотеки, музея и 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других аналогичных учреждений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 и организаций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2976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trHeight w:val="421"/>
        </w:trPr>
        <w:tc>
          <w:tcPr>
            <w:tcBorders/>
            <w:tcW w:w="7230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Специалист по методике клубной работы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2976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trHeight w:val="421"/>
        </w:trPr>
        <w:tc>
          <w:tcPr>
            <w:tcBorders/>
            <w:tcW w:w="7230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Художник по свету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2976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trHeight w:val="421"/>
        </w:trPr>
        <w:tc>
          <w:tcPr>
            <w:tcBorders/>
            <w:tcW w:w="7230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Художник-декоратор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2976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trHeight w:val="421"/>
        </w:trPr>
        <w:tc>
          <w:tcPr>
            <w:tcBorders/>
            <w:tcW w:w="7230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Художник-оформитель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2976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trHeight w:val="421"/>
        </w:trPr>
        <w:tc>
          <w:tcPr>
            <w:tcBorders/>
            <w:tcW w:w="7230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Художник-фотограф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2976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trHeight w:val="670"/>
        </w:trPr>
        <w:tc>
          <w:tcPr>
            <w:gridSpan w:val="2"/>
            <w:tcBorders/>
            <w:tcW w:w="10206" w:type="dxa"/>
            <w:textDirection w:val="lrTb"/>
            <w:noWrap w:val="false"/>
          </w:tcPr>
          <w:p>
            <w:pPr>
              <w:pStyle w:val="1019"/>
              <w:pBdr/>
              <w:tabs>
                <w:tab w:val="left" w:leader="none" w:pos="780"/>
              </w:tabs>
              <w:spacing/>
              <w:ind/>
              <w:jc w:val="center"/>
              <w:rPr>
                <w:rFonts w:ascii="Times New Roman" w:hAnsi="Times New Roman" w:cs="Times New Roman" w:eastAsiaTheme="minorHAnsi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highlight w:val="none"/>
                <w:lang w:eastAsia="en-US"/>
              </w:rPr>
              <w:t xml:space="preserve">Профессиональная квалификационная группа «Должности руководящего состава учреждений культуры, искусства и кинематографии»</w:t>
            </w:r>
            <w:r>
              <w:rPr>
                <w:rFonts w:ascii="Times New Roman" w:hAnsi="Times New Roman" w:cs="Times New Roman" w:eastAsiaTheme="minorHAnsi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 w:eastAsiaTheme="minorHAnsi"/>
                <w:sz w:val="28"/>
                <w:szCs w:val="28"/>
                <w:highlight w:val="none"/>
              </w:rPr>
            </w:r>
          </w:p>
        </w:tc>
      </w:tr>
      <w:tr>
        <w:trPr>
          <w:trHeight w:val="1716"/>
        </w:trPr>
        <w:tc>
          <w:tcPr>
            <w:tcBorders/>
            <w:tcW w:w="7230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Заведующий отделом (сектором) дома (дворца) культуры, парка культуры и отдыха, научно-методического центра народного творчества, дома народного творчества, центра 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народной культуры (культуры и досуга) и других аналогичных учреждений и организаций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2976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:lang w:val="en-US"/>
              </w:rPr>
              <w:t xml:space="preserve">29 320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  <w:tr>
        <w:trPr>
          <w:trHeight w:val="421"/>
        </w:trPr>
        <w:tc>
          <w:tcPr>
            <w:tcBorders/>
            <w:tcW w:w="7230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Звукорежиссер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2976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trHeight w:val="421"/>
        </w:trPr>
        <w:tc>
          <w:tcPr>
            <w:tcBorders/>
            <w:tcW w:w="7230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Режиссер-постановщик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2976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trHeight w:val="421"/>
        </w:trPr>
        <w:tc>
          <w:tcPr>
            <w:tcBorders/>
            <w:tcW w:w="7230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Режиссер (дирижер, балетмейстер, хормейстер)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2976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trHeight w:val="421"/>
        </w:trPr>
        <w:tc>
          <w:tcPr>
            <w:tcBorders/>
            <w:tcW w:w="7230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Режиссер массовых представлений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2976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trHeight w:val="421"/>
        </w:trPr>
        <w:tc>
          <w:tcPr>
            <w:tcBorders/>
            <w:tcW w:w="7230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Художественный руководитель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2976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</w:tbl>
    <w:p>
      <w:pPr>
        <w:pStyle w:val="1019"/>
        <w:pBdr/>
        <w:spacing w:line="360" w:lineRule="auto"/>
        <w:ind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1019"/>
        <w:pBdr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Для работников культуры организаций молодежной политики применяется коэффициент приоритета отрасли к базовому окладу.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1019"/>
        <w:pBdr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Размер коэффициента приоритета отрасли составляет: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1019"/>
        <w:pBdr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по профессиональной квалификационной группе «Должности технических исполнителей и артистов вспомогательного состава» – 1,05;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1019"/>
        <w:pBdr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по профессиональным квалификационным группам «Должности работников культуры, искусства и кинематографии среднего звена» и «Должности работников культуры, искусства и кинематографии ведущего звена» – 1,12;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1019"/>
        <w:pBdr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по профессиональной квалификационной группе «Должности руководящего состава учреждений культуры, искусства и кинематографии» – 1,25.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1019"/>
        <w:pBdr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Применение указанных коэффициентов к базовому окладу образует новый базовый оклад и учитывается при начислении выплат компенсационного и стимулирующего характера.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1019"/>
        <w:pBdr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Для Арт-резиденции «Созвездие –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Йолдызлык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» государственного бюджетного учреждения «Республиканский центр по поддержке творчески одаренных детей и молодежи «Созвездие –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Йолдызлык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»: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1019"/>
        <w:pBdr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базовый оклад работников, занимающих должности «заведующий труппой», «репетитор по вокалу», «артист балета», «артист драмы», «артист симфонического, камерного, эстрадно-симфонического, духового оркестров, оркестра народных инструментов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»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, составляет </w:t>
      </w:r>
      <w:r>
        <w:rPr>
          <w:rFonts w:ascii="Times New Roman" w:hAnsi="Times New Roman" w:eastAsia="Times New Roman" w:cs="Times New Roman"/>
          <w:color w:val="000000"/>
          <w:sz w:val="28"/>
          <w:lang w:val="en-US"/>
        </w:rPr>
        <w:t xml:space="preserve">27 500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1019"/>
        <w:pBdr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базовый оклад работников, занимающих должности «главный дирижер», «главный режиссер», «руководитель литературно-драматургической части», «заведующий художественно-постановочной частью», «заведующий музыкальной частью», составляет </w:t>
      </w:r>
      <w:r>
        <w:rPr>
          <w:rFonts w:ascii="Times New Roman" w:hAnsi="Times New Roman" w:cs="Times New Roman"/>
          <w:sz w:val="28"/>
          <w:szCs w:val="28"/>
          <w:highlight w:val="none"/>
          <w:lang w:val="en-US"/>
        </w:rPr>
        <w:t xml:space="preserve">36 640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рублей.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»;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1009"/>
        <w:widowControl w:val="false"/>
        <w:pBdr/>
        <w:spacing w:after="0" w:line="360" w:lineRule="auto"/>
        <w:ind w:firstLine="709" w:left="0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highlight w:val="none"/>
        </w:rPr>
      </w:r>
      <w:bookmarkStart w:id="3" w:name="_Hlk172190647"/>
      <w:r>
        <w:rPr>
          <w:rFonts w:ascii="Times New Roman" w:hAnsi="Times New Roman" w:cs="Times New Roman"/>
          <w:sz w:val="28"/>
          <w:szCs w:val="28"/>
          <w:highlight w:val="none"/>
        </w:rPr>
        <w:t xml:space="preserve">таблицу 16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изложить в следующей редакции:</w:t>
      </w:r>
      <w:bookmarkEnd w:id="3"/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Bdr/>
        <w:spacing w:after="0" w:line="360" w:lineRule="auto"/>
        <w:ind/>
        <w:jc w:val="right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«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Таблица 16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Bdr/>
        <w:spacing w:after="0" w:line="360" w:lineRule="auto"/>
        <w:ind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Bdr/>
        <w:spacing w:after="0" w:line="360" w:lineRule="auto"/>
        <w:ind/>
        <w:jc w:val="center"/>
        <w:rPr>
          <w:rFonts w:ascii="Times New Roman" w:hAnsi="Times New Roman" w:cs="Times New Roman"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Cs/>
          <w:sz w:val="28"/>
          <w:szCs w:val="28"/>
          <w:highlight w:val="none"/>
        </w:rPr>
        <w:t xml:space="preserve">Размеры базовых окладов руководителей организаций молодежной политики</w:t>
      </w:r>
      <w:r>
        <w:rPr>
          <w:rFonts w:ascii="Times New Roman" w:hAnsi="Times New Roman" w:cs="Times New Roman"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Cs/>
          <w:sz w:val="28"/>
          <w:szCs w:val="28"/>
          <w:highlight w:val="none"/>
        </w:rPr>
      </w:r>
    </w:p>
    <w:p>
      <w:pPr>
        <w:pBdr/>
        <w:spacing w:after="0" w:line="360" w:lineRule="auto"/>
        <w:ind/>
        <w:jc w:val="center"/>
        <w:rPr>
          <w:rFonts w:ascii="Times New Roman" w:hAnsi="Times New Roman" w:cs="Times New Roman"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Cs/>
          <w:sz w:val="28"/>
          <w:szCs w:val="28"/>
          <w:highlight w:val="none"/>
        </w:rPr>
      </w:r>
    </w:p>
    <w:tbl>
      <w:tblPr>
        <w:tblW w:w="10201" w:type="dxa"/>
        <w:tblBorders>
          <w:top w:val="single" w:color="auto" w:sz="4" w:space="0"/>
          <w:left w:val="single" w:color="auto" w:sz="4" w:space="0"/>
          <w:bottom w:val="none" w:color="auto" w:sz="0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  <w:tblStyle w:val="1024"/>
      </w:tblPr>
      <w:tblGrid>
        <w:gridCol w:w="704"/>
        <w:gridCol w:w="3827"/>
        <w:gridCol w:w="2410"/>
        <w:gridCol w:w="3260"/>
      </w:tblGrid>
      <w:tr>
        <w:trPr/>
        <w:tc>
          <w:tcPr>
            <w:tcBorders/>
            <w:tcW w:w="70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№ п/п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3827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Наименование типа организации/штатная численность организации, единиц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241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Группа по оплате труда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326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Базовый 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о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клад руководителя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*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, рублей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</w:tbl>
    <w:p>
      <w:pPr>
        <w:pBdr/>
        <w:spacing w:after="0" w:line="240" w:lineRule="auto"/>
        <w:ind/>
        <w:jc w:val="center"/>
        <w:rPr>
          <w:rFonts w:ascii="Times New Roman" w:hAnsi="Times New Roman" w:cs="Times New Roman"/>
          <w:sz w:val="2"/>
          <w:szCs w:val="2"/>
          <w:highlight w:val="none"/>
        </w:rPr>
      </w:pPr>
      <w:r>
        <w:rPr>
          <w:rFonts w:ascii="Times New Roman" w:hAnsi="Times New Roman" w:cs="Times New Roman"/>
          <w:sz w:val="2"/>
          <w:szCs w:val="2"/>
          <w:highlight w:val="none"/>
        </w:rPr>
      </w:r>
      <w:r>
        <w:rPr>
          <w:rFonts w:ascii="Times New Roman" w:hAnsi="Times New Roman" w:cs="Times New Roman"/>
          <w:sz w:val="2"/>
          <w:szCs w:val="2"/>
          <w:highlight w:val="none"/>
        </w:rPr>
      </w:r>
      <w:r>
        <w:rPr>
          <w:rFonts w:ascii="Times New Roman" w:hAnsi="Times New Roman" w:cs="Times New Roman"/>
          <w:sz w:val="2"/>
          <w:szCs w:val="2"/>
          <w:highlight w:val="none"/>
        </w:rPr>
      </w:r>
    </w:p>
    <w:tbl>
      <w:tblPr>
        <w:tblW w:w="10201" w:type="dxa"/>
        <w:tblBorders/>
        <w:tblLayout w:type="fixed"/>
        <w:tblLook w:val="0000" w:firstRow="0" w:lastRow="0" w:firstColumn="0" w:lastColumn="0" w:noHBand="0" w:noVBand="0"/>
        <w:tblStyle w:val="1024"/>
      </w:tblPr>
      <w:tblGrid>
        <w:gridCol w:w="704"/>
        <w:gridCol w:w="3827"/>
        <w:gridCol w:w="2410"/>
        <w:gridCol w:w="3260"/>
      </w:tblGrid>
      <w:tr>
        <w:trPr>
          <w:tblHeader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27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3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4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4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1.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97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Молодежные центры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4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27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До 10 включительно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:lang w:val="en-US"/>
              </w:rPr>
              <w:t xml:space="preserve">38 720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4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27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От 11 до 30 включительно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:lang w:val="en-US"/>
              </w:rPr>
              <w:t xml:space="preserve">43 200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4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27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От 31 до 50 включительно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3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:lang w:val="en-US"/>
              </w:rPr>
              <w:t xml:space="preserve">48 640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4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27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От 51 до 70 включительно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4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:lang w:val="en-US"/>
              </w:rPr>
              <w:t xml:space="preserve">51 910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4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27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От 71 до 150 включительно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5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:lang w:val="en-US"/>
              </w:rPr>
              <w:t xml:space="preserve">54 090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4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27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От 151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6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:lang w:val="en-US"/>
              </w:rPr>
              <w:t xml:space="preserve">60 740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4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2.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97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Оздоровительно-досуговые учреждения (лагеря)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4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27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До 10 включительно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:lang w:val="en-US"/>
              </w:rPr>
              <w:t xml:space="preserve">41 140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4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27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От 11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:lang w:val="en-US"/>
              </w:rPr>
              <w:t xml:space="preserve">44 170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4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3.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97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Молодежные (подростковые) клубы по месту жительства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4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27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До 12 включительно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:lang w:val="en-US"/>
              </w:rPr>
              <w:t xml:space="preserve">38 720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4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27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От 13 до 25 включительно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:lang w:val="en-US"/>
              </w:rPr>
              <w:t xml:space="preserve">44 170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4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27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От 26 до 40 включительно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3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4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:lang w:val="en-US"/>
              </w:rPr>
              <w:t xml:space="preserve">9 730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4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27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От 41 до 70 включительно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4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:lang w:val="en-US"/>
              </w:rPr>
              <w:t xml:space="preserve">51 910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4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27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От 71 до 140 включительно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5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:lang w:val="en-US"/>
              </w:rPr>
              <w:t xml:space="preserve">55 300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4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27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От 141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6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:lang w:val="en-US"/>
              </w:rPr>
              <w:t xml:space="preserve">80 470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4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4.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97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Центры военно-патриотической работы и подготовки 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допризывной молодежи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4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27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До 10 включительно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:lang w:val="en-US"/>
              </w:rPr>
              <w:t xml:space="preserve">32 670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4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27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От 11 до 20 включительно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:lang w:val="en-US"/>
              </w:rPr>
              <w:t xml:space="preserve">42 830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4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27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От 21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3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:lang w:val="en-US"/>
              </w:rPr>
              <w:t xml:space="preserve">53 000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4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5.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97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Центры молодежных (студенческих) формирований 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по охране общественного порядка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4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27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До 10 включительно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:lang w:val="en-US"/>
              </w:rPr>
              <w:t xml:space="preserve">40 540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4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27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От 11 до 30 включительно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:lang w:val="en-US"/>
              </w:rPr>
              <w:t xml:space="preserve">46 460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4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27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От 31 до 50 включительно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3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:lang w:val="en-US"/>
              </w:rPr>
              <w:t xml:space="preserve">47 670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4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27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От 51 до 70 включительно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4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:lang w:val="en-US"/>
              </w:rPr>
              <w:t xml:space="preserve">48 880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4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27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От 71 до 90 включительно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5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:lang w:val="en-US"/>
              </w:rPr>
              <w:t xml:space="preserve">50 090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4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27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От 91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6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:lang w:val="en-US"/>
              </w:rPr>
              <w:t xml:space="preserve">51 300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4" w:type="dxa"/>
            <w:vMerge w:val="restart"/>
            <w:textDirection w:val="lrTb"/>
            <w:noWrap w:val="false"/>
          </w:tcPr>
          <w:p>
            <w:pPr>
              <w:pBdr/>
              <w:spacing w:line="228" w:lineRule="auto"/>
              <w:ind/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6.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97" w:type="dxa"/>
            <w:textDirection w:val="lrTb"/>
            <w:noWrap w:val="false"/>
          </w:tcPr>
          <w:p>
            <w:pPr>
              <w:pBdr/>
              <w:spacing w:line="228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Центры по организации оздоровления, отдыха и занятости 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pBdr/>
              <w:spacing w:line="228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детей и подростков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4" w:type="dxa"/>
            <w:vMerge w:val="continue"/>
            <w:textDirection w:val="lrTb"/>
            <w:noWrap w:val="false"/>
          </w:tcPr>
          <w:p>
            <w:pPr>
              <w:pBdr/>
              <w:spacing w:line="228" w:lineRule="auto"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27" w:type="dxa"/>
            <w:textDirection w:val="lrTb"/>
            <w:noWrap w:val="false"/>
          </w:tcPr>
          <w:p>
            <w:pPr>
              <w:pBdr/>
              <w:spacing w:line="228" w:lineRule="auto"/>
              <w:ind/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До 45 включительно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0" w:type="dxa"/>
            <w:textDirection w:val="lrTb"/>
            <w:noWrap w:val="false"/>
          </w:tcPr>
          <w:p>
            <w:pPr>
              <w:pBdr/>
              <w:spacing w:line="228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pBdr/>
              <w:spacing w:line="228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:lang w:val="en-US"/>
              </w:rPr>
              <w:t xml:space="preserve">49 610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4" w:type="dxa"/>
            <w:vMerge w:val="continue"/>
            <w:textDirection w:val="lrTb"/>
            <w:noWrap w:val="false"/>
          </w:tcPr>
          <w:p>
            <w:pPr>
              <w:pBdr/>
              <w:spacing w:line="228" w:lineRule="auto"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27" w:type="dxa"/>
            <w:textDirection w:val="lrTb"/>
            <w:noWrap w:val="false"/>
          </w:tcPr>
          <w:p>
            <w:pPr>
              <w:pBdr/>
              <w:spacing w:line="228" w:lineRule="auto"/>
              <w:ind/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От 46 до 90 включительно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0" w:type="dxa"/>
            <w:textDirection w:val="lrTb"/>
            <w:noWrap w:val="false"/>
          </w:tcPr>
          <w:p>
            <w:pPr>
              <w:pBdr/>
              <w:spacing w:line="228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pBdr/>
              <w:spacing w:line="228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:lang w:val="en-US"/>
              </w:rPr>
              <w:t xml:space="preserve">54 450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4" w:type="dxa"/>
            <w:vMerge w:val="continue"/>
            <w:textDirection w:val="lrTb"/>
            <w:noWrap w:val="false"/>
          </w:tcPr>
          <w:p>
            <w:pPr>
              <w:pBdr/>
              <w:spacing w:line="228" w:lineRule="auto"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27" w:type="dxa"/>
            <w:textDirection w:val="lrTb"/>
            <w:noWrap w:val="false"/>
          </w:tcPr>
          <w:p>
            <w:pPr>
              <w:pBdr/>
              <w:spacing w:line="228" w:lineRule="auto"/>
              <w:ind/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От 91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0" w:type="dxa"/>
            <w:textDirection w:val="lrTb"/>
            <w:noWrap w:val="false"/>
          </w:tcPr>
          <w:p>
            <w:pPr>
              <w:pBdr/>
              <w:spacing w:line="228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3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pBdr/>
              <w:spacing w:line="228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:lang w:val="en-US"/>
              </w:rPr>
              <w:t xml:space="preserve">59 290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4" w:type="dxa"/>
            <w:vMerge w:val="restart"/>
            <w:textDirection w:val="lrTb"/>
            <w:noWrap w:val="false"/>
          </w:tcPr>
          <w:p>
            <w:pPr>
              <w:pBdr/>
              <w:spacing w:line="228" w:lineRule="auto"/>
              <w:ind/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7.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97" w:type="dxa"/>
            <w:textDirection w:val="lrTb"/>
            <w:noWrap w:val="false"/>
          </w:tcPr>
          <w:p>
            <w:pPr>
              <w:pBdr/>
              <w:spacing w:line="228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Центры студенческих трудовых отрядов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4" w:type="dxa"/>
            <w:vMerge w:val="continue"/>
            <w:textDirection w:val="lrTb"/>
            <w:noWrap w:val="false"/>
          </w:tcPr>
          <w:p>
            <w:pPr>
              <w:pBdr/>
              <w:spacing w:line="228" w:lineRule="auto"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27" w:type="dxa"/>
            <w:textDirection w:val="lrTb"/>
            <w:noWrap w:val="false"/>
          </w:tcPr>
          <w:p>
            <w:pPr>
              <w:pBdr/>
              <w:spacing w:line="228" w:lineRule="auto"/>
              <w:ind/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До 10 включительно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0" w:type="dxa"/>
            <w:textDirection w:val="lrTb"/>
            <w:noWrap w:val="false"/>
          </w:tcPr>
          <w:p>
            <w:pPr>
              <w:pBdr/>
              <w:spacing w:line="228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pBdr/>
              <w:spacing w:line="228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:lang w:val="en-US"/>
              </w:rPr>
              <w:t xml:space="preserve">47 430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4" w:type="dxa"/>
            <w:vMerge w:val="continue"/>
            <w:textDirection w:val="lrTb"/>
            <w:noWrap w:val="false"/>
          </w:tcPr>
          <w:p>
            <w:pPr>
              <w:pBdr/>
              <w:spacing w:line="228" w:lineRule="auto"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27" w:type="dxa"/>
            <w:textDirection w:val="lrTb"/>
            <w:noWrap w:val="false"/>
          </w:tcPr>
          <w:p>
            <w:pPr>
              <w:pBdr/>
              <w:spacing w:line="228" w:lineRule="auto"/>
              <w:ind/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От 11 до 30 включительно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0" w:type="dxa"/>
            <w:textDirection w:val="lrTb"/>
            <w:noWrap w:val="false"/>
          </w:tcPr>
          <w:p>
            <w:pPr>
              <w:pBdr/>
              <w:spacing w:line="228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pBdr/>
              <w:spacing w:line="228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:lang w:val="en-US"/>
              </w:rPr>
              <w:t xml:space="preserve">48 640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4" w:type="dxa"/>
            <w:vMerge w:val="continue"/>
            <w:textDirection w:val="lrTb"/>
            <w:noWrap w:val="false"/>
          </w:tcPr>
          <w:p>
            <w:pPr>
              <w:pBdr/>
              <w:spacing w:line="228" w:lineRule="auto"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27" w:type="dxa"/>
            <w:textDirection w:val="lrTb"/>
            <w:noWrap w:val="false"/>
          </w:tcPr>
          <w:p>
            <w:pPr>
              <w:pBdr/>
              <w:spacing w:line="228" w:lineRule="auto"/>
              <w:ind/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От 31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0" w:type="dxa"/>
            <w:textDirection w:val="lrTb"/>
            <w:noWrap w:val="false"/>
          </w:tcPr>
          <w:p>
            <w:pPr>
              <w:pBdr/>
              <w:spacing w:line="228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3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pBdr/>
              <w:spacing w:line="228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:lang w:val="en-US"/>
              </w:rPr>
              <w:t xml:space="preserve">49 850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4" w:type="dxa"/>
            <w:vMerge w:val="restart"/>
            <w:textDirection w:val="lrTb"/>
            <w:noWrap w:val="false"/>
          </w:tcPr>
          <w:p>
            <w:pPr>
              <w:pBdr/>
              <w:spacing w:line="228" w:lineRule="auto"/>
              <w:ind/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8.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97" w:type="dxa"/>
            <w:textDirection w:val="lrTb"/>
            <w:noWrap w:val="false"/>
          </w:tcPr>
          <w:p>
            <w:pPr>
              <w:pBdr/>
              <w:spacing w:line="228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Центры психолого-педагогической помощи детям и молодежи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4" w:type="dxa"/>
            <w:vMerge w:val="continue"/>
            <w:textDirection w:val="lrTb"/>
            <w:noWrap w:val="false"/>
          </w:tcPr>
          <w:p>
            <w:pPr>
              <w:pBdr/>
              <w:spacing w:line="228" w:lineRule="auto"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27" w:type="dxa"/>
            <w:textDirection w:val="lrTb"/>
            <w:noWrap w:val="false"/>
          </w:tcPr>
          <w:p>
            <w:pPr>
              <w:pBdr/>
              <w:spacing w:line="228" w:lineRule="auto"/>
              <w:ind/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До 10 включительно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0" w:type="dxa"/>
            <w:textDirection w:val="lrTb"/>
            <w:noWrap w:val="false"/>
          </w:tcPr>
          <w:p>
            <w:pPr>
              <w:pBdr/>
              <w:spacing w:line="228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pBdr/>
              <w:spacing w:line="228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:lang w:val="en-US"/>
              </w:rPr>
              <w:t xml:space="preserve">48 520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4" w:type="dxa"/>
            <w:vMerge w:val="continue"/>
            <w:textDirection w:val="lrTb"/>
            <w:noWrap w:val="false"/>
          </w:tcPr>
          <w:p>
            <w:pPr>
              <w:pBdr/>
              <w:spacing w:line="228" w:lineRule="auto"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27" w:type="dxa"/>
            <w:textDirection w:val="lrTb"/>
            <w:noWrap w:val="false"/>
          </w:tcPr>
          <w:p>
            <w:pPr>
              <w:pBdr/>
              <w:spacing w:line="228" w:lineRule="auto"/>
              <w:ind/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От 11 до 25 включительно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0" w:type="dxa"/>
            <w:textDirection w:val="lrTb"/>
            <w:noWrap w:val="false"/>
          </w:tcPr>
          <w:p>
            <w:pPr>
              <w:pBdr/>
              <w:spacing w:line="228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pBdr/>
              <w:spacing w:line="228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:lang w:val="en-US"/>
              </w:rPr>
              <w:t xml:space="preserve">52 150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4" w:type="dxa"/>
            <w:vMerge w:val="continue"/>
            <w:textDirection w:val="lrTb"/>
            <w:noWrap w:val="false"/>
          </w:tcPr>
          <w:p>
            <w:pPr>
              <w:pBdr/>
              <w:spacing w:line="228" w:lineRule="auto"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27" w:type="dxa"/>
            <w:textDirection w:val="lrTb"/>
            <w:noWrap w:val="false"/>
          </w:tcPr>
          <w:p>
            <w:pPr>
              <w:pBdr/>
              <w:spacing w:line="228" w:lineRule="auto"/>
              <w:ind/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От 26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0" w:type="dxa"/>
            <w:textDirection w:val="lrTb"/>
            <w:noWrap w:val="false"/>
          </w:tcPr>
          <w:p>
            <w:pPr>
              <w:pBdr/>
              <w:spacing w:line="228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3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pBdr/>
              <w:spacing w:line="228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:lang w:val="en-US"/>
              </w:rPr>
              <w:t xml:space="preserve">55 780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  <w:tr>
        <w:trPr>
          <w:trHeight w:val="60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4" w:type="dxa"/>
            <w:vMerge w:val="restart"/>
            <w:textDirection w:val="lrTb"/>
            <w:noWrap w:val="false"/>
          </w:tcPr>
          <w:p>
            <w:pPr>
              <w:pBdr/>
              <w:spacing w:line="228" w:lineRule="auto"/>
              <w:ind/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9.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97" w:type="dxa"/>
            <w:textDirection w:val="lrTb"/>
            <w:noWrap w:val="false"/>
          </w:tcPr>
          <w:p>
            <w:pPr>
              <w:pBdr/>
              <w:spacing w:line="228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Центры экстренной психологической помощи по телефону 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pBdr/>
              <w:spacing w:line="228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для детей и молодежи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4" w:type="dxa"/>
            <w:vMerge w:val="continue"/>
            <w:textDirection w:val="lrTb"/>
            <w:noWrap w:val="false"/>
          </w:tcPr>
          <w:p>
            <w:pPr>
              <w:pBdr/>
              <w:spacing w:line="228" w:lineRule="auto"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27" w:type="dxa"/>
            <w:textDirection w:val="lrTb"/>
            <w:noWrap w:val="false"/>
          </w:tcPr>
          <w:p>
            <w:pPr>
              <w:pBdr/>
              <w:spacing w:line="228" w:lineRule="auto"/>
              <w:ind/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До 10 включительно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0" w:type="dxa"/>
            <w:textDirection w:val="lrTb"/>
            <w:noWrap w:val="false"/>
          </w:tcPr>
          <w:p>
            <w:pPr>
              <w:pBdr/>
              <w:spacing w:line="228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pBdr/>
              <w:spacing w:line="228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:lang w:val="en-US"/>
              </w:rPr>
              <w:t xml:space="preserve">47 190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4" w:type="dxa"/>
            <w:vMerge w:val="continue"/>
            <w:textDirection w:val="lrTb"/>
            <w:noWrap w:val="false"/>
          </w:tcPr>
          <w:p>
            <w:pPr>
              <w:pBdr/>
              <w:spacing w:line="228" w:lineRule="auto"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27" w:type="dxa"/>
            <w:textDirection w:val="lrTb"/>
            <w:noWrap w:val="false"/>
          </w:tcPr>
          <w:p>
            <w:pPr>
              <w:pBdr/>
              <w:spacing w:line="228" w:lineRule="auto"/>
              <w:ind/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От 11 до 30 включительно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0" w:type="dxa"/>
            <w:textDirection w:val="lrTb"/>
            <w:noWrap w:val="false"/>
          </w:tcPr>
          <w:p>
            <w:pPr>
              <w:pBdr/>
              <w:spacing w:line="228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pBdr/>
              <w:spacing w:line="228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:lang w:val="en-US"/>
              </w:rPr>
              <w:t xml:space="preserve">52 030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4" w:type="dxa"/>
            <w:vMerge w:val="continue"/>
            <w:textDirection w:val="lrTb"/>
            <w:noWrap w:val="false"/>
          </w:tcPr>
          <w:p>
            <w:pPr>
              <w:pBdr/>
              <w:spacing w:line="228" w:lineRule="auto"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27" w:type="dxa"/>
            <w:textDirection w:val="lrTb"/>
            <w:noWrap w:val="false"/>
          </w:tcPr>
          <w:p>
            <w:pPr>
              <w:pBdr/>
              <w:spacing w:line="228" w:lineRule="auto"/>
              <w:ind/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От 31 до 50 включительно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0" w:type="dxa"/>
            <w:textDirection w:val="lrTb"/>
            <w:noWrap w:val="false"/>
          </w:tcPr>
          <w:p>
            <w:pPr>
              <w:pBdr/>
              <w:spacing w:line="228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3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pBdr/>
              <w:spacing w:line="228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:lang w:val="en-US"/>
              </w:rPr>
              <w:t xml:space="preserve">56 870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4" w:type="dxa"/>
            <w:vMerge w:val="continue"/>
            <w:textDirection w:val="lrTb"/>
            <w:noWrap w:val="false"/>
          </w:tcPr>
          <w:p>
            <w:pPr>
              <w:pBdr/>
              <w:spacing w:line="228" w:lineRule="auto"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27" w:type="dxa"/>
            <w:textDirection w:val="lrTb"/>
            <w:noWrap w:val="false"/>
          </w:tcPr>
          <w:p>
            <w:pPr>
              <w:pBdr/>
              <w:spacing w:line="228" w:lineRule="auto"/>
              <w:ind/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От 51 до 70 включительно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0" w:type="dxa"/>
            <w:textDirection w:val="lrTb"/>
            <w:noWrap w:val="false"/>
          </w:tcPr>
          <w:p>
            <w:pPr>
              <w:pBdr/>
              <w:spacing w:line="228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4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pBdr/>
              <w:spacing w:line="228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:lang w:val="en-US"/>
              </w:rPr>
              <w:t xml:space="preserve">61 710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4" w:type="dxa"/>
            <w:vMerge w:val="continue"/>
            <w:textDirection w:val="lrTb"/>
            <w:noWrap w:val="false"/>
          </w:tcPr>
          <w:p>
            <w:pPr>
              <w:pBdr/>
              <w:spacing w:line="228" w:lineRule="auto"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27" w:type="dxa"/>
            <w:textDirection w:val="lrTb"/>
            <w:noWrap w:val="false"/>
          </w:tcPr>
          <w:p>
            <w:pPr>
              <w:pBdr/>
              <w:spacing w:line="228" w:lineRule="auto"/>
              <w:ind/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От 71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0" w:type="dxa"/>
            <w:textDirection w:val="lrTb"/>
            <w:noWrap w:val="false"/>
          </w:tcPr>
          <w:p>
            <w:pPr>
              <w:pBdr/>
              <w:spacing w:line="228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5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pBdr/>
              <w:spacing w:line="228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:lang w:val="en-US"/>
              </w:rPr>
              <w:t xml:space="preserve">67 760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4" w:type="dxa"/>
            <w:vMerge w:val="restart"/>
            <w:textDirection w:val="lrTb"/>
            <w:noWrap w:val="false"/>
          </w:tcPr>
          <w:p>
            <w:pPr>
              <w:pBdr/>
              <w:spacing w:line="228" w:lineRule="auto"/>
              <w:ind/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10.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97" w:type="dxa"/>
            <w:textDirection w:val="lrTb"/>
            <w:noWrap w:val="false"/>
          </w:tcPr>
          <w:p>
            <w:pPr>
              <w:pBdr/>
              <w:spacing w:line="228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Социально-реабилитационный центр для детей с девиантным поведением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4" w:type="dxa"/>
            <w:vMerge w:val="continue"/>
            <w:textDirection w:val="lrTb"/>
            <w:noWrap w:val="false"/>
          </w:tcPr>
          <w:p>
            <w:pPr>
              <w:pBdr/>
              <w:spacing w:line="228" w:lineRule="auto"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27" w:type="dxa"/>
            <w:textDirection w:val="lrTb"/>
            <w:noWrap w:val="false"/>
          </w:tcPr>
          <w:p>
            <w:pPr>
              <w:pBdr/>
              <w:spacing w:line="228" w:lineRule="auto"/>
              <w:ind/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До 20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0" w:type="dxa"/>
            <w:textDirection w:val="lrTb"/>
            <w:noWrap w:val="false"/>
          </w:tcPr>
          <w:p>
            <w:pPr>
              <w:pBdr/>
              <w:spacing w:line="228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pBdr/>
              <w:spacing w:line="228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:lang w:val="en-US"/>
              </w:rPr>
              <w:t xml:space="preserve">55 660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4" w:type="dxa"/>
            <w:vMerge w:val="continue"/>
            <w:textDirection w:val="lrTb"/>
            <w:noWrap w:val="false"/>
          </w:tcPr>
          <w:p>
            <w:pPr>
              <w:pBdr/>
              <w:spacing w:line="228" w:lineRule="auto"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27" w:type="dxa"/>
            <w:textDirection w:val="lrTb"/>
            <w:noWrap w:val="false"/>
          </w:tcPr>
          <w:p>
            <w:pPr>
              <w:pBdr/>
              <w:spacing w:line="228" w:lineRule="auto"/>
              <w:ind/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От 21 до 40 включительно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0" w:type="dxa"/>
            <w:textDirection w:val="lrTb"/>
            <w:noWrap w:val="false"/>
          </w:tcPr>
          <w:p>
            <w:pPr>
              <w:pBdr/>
              <w:spacing w:line="228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pBdr/>
              <w:spacing w:line="228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:lang w:val="en-US"/>
              </w:rPr>
              <w:t xml:space="preserve">58 080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4" w:type="dxa"/>
            <w:vMerge w:val="continue"/>
            <w:textDirection w:val="lrTb"/>
            <w:noWrap w:val="false"/>
          </w:tcPr>
          <w:p>
            <w:pPr>
              <w:pBdr/>
              <w:spacing w:line="228" w:lineRule="auto"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27" w:type="dxa"/>
            <w:textDirection w:val="lrTb"/>
            <w:noWrap w:val="false"/>
          </w:tcPr>
          <w:p>
            <w:pPr>
              <w:pBdr/>
              <w:spacing w:line="228" w:lineRule="auto"/>
              <w:ind/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От 41 до 60 включительно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0" w:type="dxa"/>
            <w:textDirection w:val="lrTb"/>
            <w:noWrap w:val="false"/>
          </w:tcPr>
          <w:p>
            <w:pPr>
              <w:pBdr/>
              <w:spacing w:line="228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3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pBdr/>
              <w:spacing w:line="228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:lang w:val="en-US"/>
              </w:rPr>
              <w:t xml:space="preserve">60 500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4" w:type="dxa"/>
            <w:vMerge w:val="continue"/>
            <w:textDirection w:val="lrTb"/>
            <w:noWrap w:val="false"/>
          </w:tcPr>
          <w:p>
            <w:pPr>
              <w:pBdr/>
              <w:spacing w:line="228" w:lineRule="auto"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27" w:type="dxa"/>
            <w:textDirection w:val="lrTb"/>
            <w:noWrap w:val="false"/>
          </w:tcPr>
          <w:p>
            <w:pPr>
              <w:pBdr/>
              <w:spacing w:line="228" w:lineRule="auto"/>
              <w:ind/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От 61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0" w:type="dxa"/>
            <w:textDirection w:val="lrTb"/>
            <w:noWrap w:val="false"/>
          </w:tcPr>
          <w:p>
            <w:pPr>
              <w:pBdr/>
              <w:spacing w:line="228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4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pBdr/>
              <w:spacing w:line="228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:lang w:val="en-US"/>
              </w:rPr>
              <w:t xml:space="preserve">62 920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4" w:type="dxa"/>
            <w:vMerge w:val="restart"/>
            <w:textDirection w:val="lrTb"/>
            <w:noWrap w:val="false"/>
          </w:tcPr>
          <w:p>
            <w:pPr>
              <w:pBdr/>
              <w:spacing w:line="228" w:lineRule="auto"/>
              <w:ind/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11.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97" w:type="dxa"/>
            <w:textDirection w:val="lrTb"/>
            <w:noWrap w:val="false"/>
          </w:tcPr>
          <w:p>
            <w:pPr>
              <w:pBdr/>
              <w:spacing w:line="228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Центры содействия молодежи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4" w:type="dxa"/>
            <w:vMerge w:val="continue"/>
            <w:textDirection w:val="lrTb"/>
            <w:noWrap w:val="false"/>
          </w:tcPr>
          <w:p>
            <w:pPr>
              <w:pBdr/>
              <w:spacing w:line="228" w:lineRule="auto"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27" w:type="dxa"/>
            <w:textDirection w:val="lrTb"/>
            <w:noWrap w:val="false"/>
          </w:tcPr>
          <w:p>
            <w:pPr>
              <w:pBdr/>
              <w:spacing w:line="228" w:lineRule="auto"/>
              <w:ind/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До 12 включительно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0" w:type="dxa"/>
            <w:textDirection w:val="lrTb"/>
            <w:noWrap w:val="false"/>
          </w:tcPr>
          <w:p>
            <w:pPr>
              <w:pBdr/>
              <w:spacing w:line="228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pBdr/>
              <w:spacing w:line="228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:lang w:val="en-US"/>
              </w:rPr>
              <w:t xml:space="preserve">38 720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4" w:type="dxa"/>
            <w:vMerge w:val="continue"/>
            <w:textDirection w:val="lrTb"/>
            <w:noWrap w:val="false"/>
          </w:tcPr>
          <w:p>
            <w:pPr>
              <w:pBdr/>
              <w:spacing w:line="228" w:lineRule="auto"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27" w:type="dxa"/>
            <w:textDirection w:val="lrTb"/>
            <w:noWrap w:val="false"/>
          </w:tcPr>
          <w:p>
            <w:pPr>
              <w:pBdr/>
              <w:spacing w:line="228" w:lineRule="auto"/>
              <w:ind/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От 13 до 25 включительно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0" w:type="dxa"/>
            <w:textDirection w:val="lrTb"/>
            <w:noWrap w:val="false"/>
          </w:tcPr>
          <w:p>
            <w:pPr>
              <w:pBdr/>
              <w:spacing w:line="228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pBdr/>
              <w:spacing w:line="228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:lang w:val="en-US"/>
              </w:rPr>
              <w:t xml:space="preserve">44 170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4" w:type="dxa"/>
            <w:vMerge w:val="continue"/>
            <w:textDirection w:val="lrTb"/>
            <w:noWrap w:val="false"/>
          </w:tcPr>
          <w:p>
            <w:pPr>
              <w:pBdr/>
              <w:spacing w:line="228" w:lineRule="auto"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27" w:type="dxa"/>
            <w:textDirection w:val="lrTb"/>
            <w:noWrap w:val="false"/>
          </w:tcPr>
          <w:p>
            <w:pPr>
              <w:pBdr/>
              <w:spacing w:line="228" w:lineRule="auto"/>
              <w:ind/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От 26 до 40 включительно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0" w:type="dxa"/>
            <w:textDirection w:val="lrTb"/>
            <w:noWrap w:val="false"/>
          </w:tcPr>
          <w:p>
            <w:pPr>
              <w:pBdr/>
              <w:spacing w:line="228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3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pBdr/>
              <w:spacing w:line="228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:lang w:val="en-US"/>
              </w:rPr>
              <w:t xml:space="preserve">49 730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4" w:type="dxa"/>
            <w:vMerge w:val="continue"/>
            <w:textDirection w:val="lrTb"/>
            <w:noWrap w:val="false"/>
          </w:tcPr>
          <w:p>
            <w:pPr>
              <w:pBdr/>
              <w:spacing w:line="228" w:lineRule="auto"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27" w:type="dxa"/>
            <w:textDirection w:val="lrTb"/>
            <w:noWrap w:val="false"/>
          </w:tcPr>
          <w:p>
            <w:pPr>
              <w:pBdr/>
              <w:spacing w:line="228" w:lineRule="auto"/>
              <w:ind/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От 41 до 70 включительно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0" w:type="dxa"/>
            <w:textDirection w:val="lrTb"/>
            <w:noWrap w:val="false"/>
          </w:tcPr>
          <w:p>
            <w:pPr>
              <w:pBdr/>
              <w:spacing w:line="228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4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pBdr/>
              <w:spacing w:line="228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:lang w:val="en-US"/>
              </w:rPr>
              <w:t xml:space="preserve">51 910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4" w:type="dxa"/>
            <w:vMerge w:val="continue"/>
            <w:textDirection w:val="lrTb"/>
            <w:noWrap w:val="false"/>
          </w:tcPr>
          <w:p>
            <w:pPr>
              <w:pBdr/>
              <w:spacing w:line="228" w:lineRule="auto"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27" w:type="dxa"/>
            <w:textDirection w:val="lrTb"/>
            <w:noWrap w:val="false"/>
          </w:tcPr>
          <w:p>
            <w:pPr>
              <w:pBdr/>
              <w:spacing w:line="228" w:lineRule="auto"/>
              <w:ind/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От 71 до 140 включительно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0" w:type="dxa"/>
            <w:textDirection w:val="lrTb"/>
            <w:noWrap w:val="false"/>
          </w:tcPr>
          <w:p>
            <w:pPr>
              <w:pBdr/>
              <w:spacing w:line="228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5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pBdr/>
              <w:spacing w:line="228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:lang w:val="en-US"/>
              </w:rPr>
              <w:t xml:space="preserve">55 300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4" w:type="dxa"/>
            <w:vMerge w:val="continue"/>
            <w:textDirection w:val="lrTb"/>
            <w:noWrap w:val="false"/>
          </w:tcPr>
          <w:p>
            <w:pPr>
              <w:pBdr/>
              <w:spacing w:line="228" w:lineRule="auto"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27" w:type="dxa"/>
            <w:textDirection w:val="lrTb"/>
            <w:noWrap w:val="false"/>
          </w:tcPr>
          <w:p>
            <w:pPr>
              <w:pBdr/>
              <w:spacing w:line="228" w:lineRule="auto"/>
              <w:ind/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От 141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0" w:type="dxa"/>
            <w:textDirection w:val="lrTb"/>
            <w:noWrap w:val="false"/>
          </w:tcPr>
          <w:p>
            <w:pPr>
              <w:pBdr/>
              <w:spacing w:line="228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6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pBdr/>
              <w:spacing w:line="228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:lang w:val="en-US"/>
              </w:rPr>
              <w:t xml:space="preserve">80 470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4" w:type="dxa"/>
            <w:vMerge w:val="restart"/>
            <w:textDirection w:val="lrTb"/>
            <w:noWrap w:val="false"/>
          </w:tcPr>
          <w:p>
            <w:pPr>
              <w:pBdr/>
              <w:spacing w:line="228" w:lineRule="auto"/>
              <w:ind/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12.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97" w:type="dxa"/>
            <w:textDirection w:val="lrTb"/>
            <w:noWrap w:val="false"/>
          </w:tcPr>
          <w:p>
            <w:pPr>
              <w:pBdr/>
              <w:spacing w:line="228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Республиканские центры молодежных, инновационных 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pBdr/>
              <w:spacing w:line="228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и профилактических программ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4" w:type="dxa"/>
            <w:vMerge w:val="continue"/>
            <w:textDirection w:val="lrTb"/>
            <w:noWrap w:val="false"/>
          </w:tcPr>
          <w:p>
            <w:pPr>
              <w:pBdr/>
              <w:spacing w:line="228" w:lineRule="auto"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27" w:type="dxa"/>
            <w:textDirection w:val="lrTb"/>
            <w:noWrap w:val="false"/>
          </w:tcPr>
          <w:p>
            <w:pPr>
              <w:pBdr/>
              <w:spacing w:line="228" w:lineRule="auto"/>
              <w:ind/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До 10 включительно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0" w:type="dxa"/>
            <w:textDirection w:val="lrTb"/>
            <w:noWrap w:val="false"/>
          </w:tcPr>
          <w:p>
            <w:pPr>
              <w:pBdr/>
              <w:spacing w:line="228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pBdr/>
              <w:spacing w:line="228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:lang w:val="en-US"/>
              </w:rPr>
              <w:t xml:space="preserve">38 720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4" w:type="dxa"/>
            <w:vMerge w:val="continue"/>
            <w:textDirection w:val="lrTb"/>
            <w:noWrap w:val="false"/>
          </w:tcPr>
          <w:p>
            <w:pPr>
              <w:pBdr/>
              <w:spacing w:line="228" w:lineRule="auto"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27" w:type="dxa"/>
            <w:textDirection w:val="lrTb"/>
            <w:noWrap w:val="false"/>
          </w:tcPr>
          <w:p>
            <w:pPr>
              <w:pBdr/>
              <w:spacing w:line="228" w:lineRule="auto"/>
              <w:ind/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От 11 до 30 включительно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0" w:type="dxa"/>
            <w:textDirection w:val="lrTb"/>
            <w:noWrap w:val="false"/>
          </w:tcPr>
          <w:p>
            <w:pPr>
              <w:pBdr/>
              <w:spacing w:line="228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pBdr/>
              <w:spacing w:line="228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:lang w:val="en-US"/>
              </w:rPr>
              <w:t xml:space="preserve">43 200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4" w:type="dxa"/>
            <w:vMerge w:val="continue"/>
            <w:textDirection w:val="lrTb"/>
            <w:noWrap w:val="false"/>
          </w:tcPr>
          <w:p>
            <w:pPr>
              <w:pBdr/>
              <w:spacing w:line="228" w:lineRule="auto"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27" w:type="dxa"/>
            <w:textDirection w:val="lrTb"/>
            <w:noWrap w:val="false"/>
          </w:tcPr>
          <w:p>
            <w:pPr>
              <w:pBdr/>
              <w:spacing w:line="228" w:lineRule="auto"/>
              <w:ind/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От 31 до 50 включительно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0" w:type="dxa"/>
            <w:textDirection w:val="lrTb"/>
            <w:noWrap w:val="false"/>
          </w:tcPr>
          <w:p>
            <w:pPr>
              <w:pBdr/>
              <w:spacing w:line="228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3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pBdr/>
              <w:spacing w:line="228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:lang w:val="en-US"/>
              </w:rPr>
              <w:t xml:space="preserve">48 640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4" w:type="dxa"/>
            <w:vMerge w:val="continue"/>
            <w:textDirection w:val="lrTb"/>
            <w:noWrap w:val="false"/>
          </w:tcPr>
          <w:p>
            <w:pPr>
              <w:pBdr/>
              <w:spacing w:line="228" w:lineRule="auto"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27" w:type="dxa"/>
            <w:textDirection w:val="lrTb"/>
            <w:noWrap w:val="false"/>
          </w:tcPr>
          <w:p>
            <w:pPr>
              <w:pBdr/>
              <w:spacing w:line="228" w:lineRule="auto"/>
              <w:ind/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От 51 до 70 включительно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0" w:type="dxa"/>
            <w:textDirection w:val="lrTb"/>
            <w:noWrap w:val="false"/>
          </w:tcPr>
          <w:p>
            <w:pPr>
              <w:pBdr/>
              <w:spacing w:line="228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4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pBdr/>
              <w:spacing w:line="228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:lang w:val="en-US"/>
              </w:rPr>
              <w:t xml:space="preserve">51 910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4" w:type="dxa"/>
            <w:vMerge w:val="continue"/>
            <w:textDirection w:val="lrTb"/>
            <w:noWrap w:val="false"/>
          </w:tcPr>
          <w:p>
            <w:pPr>
              <w:pBdr/>
              <w:spacing w:line="228" w:lineRule="auto"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27" w:type="dxa"/>
            <w:textDirection w:val="lrTb"/>
            <w:noWrap w:val="false"/>
          </w:tcPr>
          <w:p>
            <w:pPr>
              <w:pBdr/>
              <w:spacing w:line="228" w:lineRule="auto"/>
              <w:ind/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От 71 до 150 включительно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0" w:type="dxa"/>
            <w:textDirection w:val="lrTb"/>
            <w:noWrap w:val="false"/>
          </w:tcPr>
          <w:p>
            <w:pPr>
              <w:pBdr/>
              <w:spacing w:line="228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5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pBdr/>
              <w:spacing w:line="228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:lang w:val="en-US"/>
              </w:rPr>
              <w:t xml:space="preserve">54 090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4" w:type="dxa"/>
            <w:vMerge w:val="continue"/>
            <w:textDirection w:val="lrTb"/>
            <w:noWrap w:val="false"/>
          </w:tcPr>
          <w:p>
            <w:pPr>
              <w:pBdr/>
              <w:spacing w:line="228" w:lineRule="auto"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27" w:type="dxa"/>
            <w:textDirection w:val="lrTb"/>
            <w:noWrap w:val="false"/>
          </w:tcPr>
          <w:p>
            <w:pPr>
              <w:pBdr/>
              <w:spacing w:line="228" w:lineRule="auto"/>
              <w:ind/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От 151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0" w:type="dxa"/>
            <w:textDirection w:val="lrTb"/>
            <w:noWrap w:val="false"/>
          </w:tcPr>
          <w:p>
            <w:pPr>
              <w:pBdr/>
              <w:spacing w:line="228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6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pBdr/>
              <w:spacing w:line="228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:lang w:val="en-US"/>
              </w:rPr>
              <w:t xml:space="preserve">60 740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  <w:tr>
        <w:trPr/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01" w:type="dxa"/>
            <w:textDirection w:val="lrTb"/>
            <w:noWrap w:val="false"/>
          </w:tcPr>
          <w:p>
            <w:pPr>
              <w:pBdr/>
              <w:spacing w:line="228" w:lineRule="auto"/>
              <w:ind/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____________________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pBdr/>
              <w:spacing w:line="228" w:lineRule="auto"/>
              <w:ind/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*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Для руководителей государственных организаций молодежной политики с учетом сложности и важности выполняемых работ, а также в связи с оказанием организационной и методической помощи муниципальным организациям молодежной 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политики по профилю деятельности устанавливается повышающий коэффициент к базовому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 окладу в размере 1,1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»;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</w:tbl>
    <w:p>
      <w:pPr>
        <w:pStyle w:val="1009"/>
        <w:pBdr/>
        <w:spacing w:after="0" w:line="230" w:lineRule="auto"/>
        <w:ind w:firstLine="709" w:left="0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1009"/>
        <w:widowControl w:val="false"/>
        <w:pBdr/>
        <w:tabs>
          <w:tab w:val="left" w:leader="none" w:pos="993"/>
        </w:tabs>
        <w:spacing w:after="0" w:line="360" w:lineRule="auto"/>
        <w:ind w:firstLine="851" w:left="0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раздел II Положения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об условиях оплаты труда работник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ов профессиональных квалификационных групп общеотраслевых профессий рабочих, рабочих культуры, искусства и кинематографии, общеотраслевых должностей руководителей, специалистов и служащих государственных организаций молодежной политики Республики Татарстан</w:t>
      </w:r>
      <w:r>
        <w:rPr>
          <w:rFonts w:ascii="Times New Roman" w:hAnsi="Times New Roman"/>
          <w:sz w:val="28"/>
          <w:szCs w:val="28"/>
          <w:highlight w:val="none"/>
        </w:rPr>
        <w:t xml:space="preserve">, </w:t>
      </w:r>
      <w:r>
        <w:rPr>
          <w:rFonts w:ascii="Times New Roman" w:hAnsi="Times New Roman"/>
          <w:sz w:val="28"/>
          <w:szCs w:val="28"/>
          <w:highlight w:val="none"/>
        </w:rPr>
        <w:t xml:space="preserve">утвержденного указанным постановлением</w:t>
      </w:r>
      <w:r>
        <w:rPr>
          <w:rFonts w:ascii="Times New Roman" w:hAnsi="Times New Roman"/>
          <w:sz w:val="28"/>
          <w:szCs w:val="28"/>
          <w:highlight w:val="none"/>
        </w:rPr>
        <w:t xml:space="preserve">,</w:t>
      </w:r>
      <w:r>
        <w:rPr>
          <w:rFonts w:ascii="Times New Roman" w:hAnsi="Times New Roman"/>
          <w:sz w:val="28"/>
          <w:szCs w:val="28"/>
          <w:highlight w:val="none"/>
        </w:rPr>
        <w:t xml:space="preserve"> изложить в следующей редакции: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1009"/>
        <w:pBdr/>
        <w:tabs>
          <w:tab w:val="left" w:leader="none" w:pos="993"/>
        </w:tabs>
        <w:spacing w:after="0" w:line="360" w:lineRule="auto"/>
        <w:ind w:left="709"/>
        <w:jc w:val="center"/>
        <w:rPr>
          <w:rFonts w:ascii="Times New Roman" w:hAnsi="Times New Roman" w:cs="Times New Roman"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Cs/>
          <w:sz w:val="28"/>
          <w:szCs w:val="28"/>
          <w:highlight w:val="none"/>
        </w:rPr>
        <w:t xml:space="preserve">«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II</w:t>
      </w:r>
      <w:r>
        <w:rPr>
          <w:rFonts w:ascii="Times New Roman" w:hAnsi="Times New Roman" w:cs="Times New Roman"/>
          <w:bCs/>
          <w:sz w:val="28"/>
          <w:szCs w:val="28"/>
          <w:highlight w:val="none"/>
        </w:rPr>
        <w:t xml:space="preserve">. </w:t>
      </w:r>
      <w:r>
        <w:rPr>
          <w:rFonts w:ascii="Times New Roman" w:hAnsi="Times New Roman" w:cs="Times New Roman"/>
          <w:bCs/>
          <w:sz w:val="28"/>
          <w:szCs w:val="28"/>
          <w:highlight w:val="none"/>
        </w:rPr>
        <w:t xml:space="preserve">Определение базовых окладов работников профессиональных</w:t>
      </w:r>
      <w:r>
        <w:rPr>
          <w:rFonts w:ascii="Times New Roman" w:hAnsi="Times New Roman" w:cs="Times New Roman"/>
          <w:bCs/>
          <w:sz w:val="28"/>
          <w:szCs w:val="28"/>
          <w:highlight w:val="none"/>
          <w:lang w:val="en-US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highlight w:val="none"/>
        </w:rPr>
        <w:t xml:space="preserve">квалификационных групп общеотраслевых профессий рабочих,</w:t>
      </w:r>
      <w:r>
        <w:rPr>
          <w:rFonts w:ascii="Times New Roman" w:hAnsi="Times New Roman" w:cs="Times New Roman"/>
          <w:bCs/>
          <w:sz w:val="28"/>
          <w:szCs w:val="28"/>
          <w:highlight w:val="none"/>
          <w:lang w:val="en-US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highlight w:val="none"/>
        </w:rPr>
        <w:t xml:space="preserve">рабочих культуры, искусства и кинематографии, общеотраслевых</w:t>
      </w:r>
      <w:r>
        <w:rPr>
          <w:rFonts w:ascii="Times New Roman" w:hAnsi="Times New Roman" w:cs="Times New Roman"/>
          <w:bCs/>
          <w:sz w:val="28"/>
          <w:szCs w:val="28"/>
          <w:highlight w:val="none"/>
          <w:lang w:val="en-US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highlight w:val="none"/>
        </w:rPr>
        <w:t xml:space="preserve">должностей руководителей, специалистов и служащих </w:t>
      </w:r>
      <w:r>
        <w:rPr>
          <w:rFonts w:ascii="Times New Roman" w:hAnsi="Times New Roman" w:cs="Times New Roman"/>
          <w:bCs/>
          <w:sz w:val="28"/>
          <w:szCs w:val="28"/>
          <w:highlight w:val="none"/>
        </w:rPr>
        <w:t xml:space="preserve">организаций молодежной политики </w:t>
      </w:r>
      <w:r>
        <w:rPr>
          <w:rFonts w:ascii="Times New Roman" w:hAnsi="Times New Roman" w:cs="Times New Roman"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Cs/>
          <w:sz w:val="28"/>
          <w:szCs w:val="28"/>
          <w:highlight w:val="none"/>
        </w:rPr>
      </w:r>
    </w:p>
    <w:p>
      <w:pPr>
        <w:pBdr/>
        <w:tabs>
          <w:tab w:val="left" w:leader="none" w:pos="993"/>
        </w:tabs>
        <w:spacing w:after="0" w:line="36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Cs/>
          <w:sz w:val="28"/>
          <w:szCs w:val="28"/>
          <w:highlight w:val="none"/>
        </w:rPr>
      </w:r>
    </w:p>
    <w:p>
      <w:pPr>
        <w:pBdr/>
        <w:tabs>
          <w:tab w:val="left" w:leader="none" w:pos="993"/>
        </w:tabs>
        <w:spacing w:after="0" w:line="360" w:lineRule="auto"/>
        <w:ind w:right="0" w:firstLine="850" w:left="0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2.1. Базовые оклады работников профессиональных квалификационных групп общеотраслевых профессий рабочих, рабочих культуры, искусства и кинематографии организаций молодежной политики устанавливаются в следующих размерах: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Bdr/>
        <w:tabs>
          <w:tab w:val="left" w:leader="none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tbl>
      <w:tblPr>
        <w:tblW w:w="103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  <w:tblStyle w:val="1024"/>
      </w:tblPr>
      <w:tblGrid>
        <w:gridCol w:w="5807"/>
        <w:gridCol w:w="4536"/>
      </w:tblGrid>
      <w:tr>
        <w:trPr/>
        <w:tc>
          <w:tcPr>
            <w:tcBorders/>
            <w:tcW w:w="5807" w:type="dxa"/>
            <w:textDirection w:val="lrTb"/>
            <w:noWrap w:val="false"/>
          </w:tcPr>
          <w:p>
            <w:pPr>
              <w:pBdr/>
              <w:spacing w:line="264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Квалификационный уровень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4536" w:type="dxa"/>
            <w:textDirection w:val="lrTb"/>
            <w:noWrap w:val="false"/>
          </w:tcPr>
          <w:p>
            <w:pPr>
              <w:pBdr/>
              <w:spacing w:line="264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Размер базового оклада в месяц, 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pBdr/>
              <w:spacing w:line="264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рублей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  <w:tr>
        <w:trPr/>
        <w:tc>
          <w:tcPr>
            <w:gridSpan w:val="2"/>
            <w:tcBorders/>
            <w:tcW w:w="10343" w:type="dxa"/>
            <w:textDirection w:val="lrTb"/>
            <w:noWrap w:val="false"/>
          </w:tcPr>
          <w:p>
            <w:pPr>
              <w:pBdr/>
              <w:spacing w:line="264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Профессиональная квалификационная группа «Общеотраслевые профессии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pBdr/>
              <w:spacing w:line="264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 рабочих первого уровня»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  <w:tr>
        <w:trPr/>
        <w:tc>
          <w:tcPr>
            <w:tcBorders/>
            <w:tcW w:w="5807" w:type="dxa"/>
            <w:textDirection w:val="lrTb"/>
            <w:noWrap w:val="false"/>
          </w:tcPr>
          <w:p>
            <w:pPr>
              <w:pBdr/>
              <w:spacing w:line="264" w:lineRule="auto"/>
              <w:ind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Первый квалификационный уровень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4536" w:type="dxa"/>
            <w:textDirection w:val="lrTb"/>
            <w:noWrap w:val="false"/>
          </w:tcPr>
          <w:p>
            <w:pPr>
              <w:pBdr/>
              <w:spacing w:line="264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:lang w:val="en-US"/>
              </w:rPr>
              <w:t xml:space="preserve">25 650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  <w:tr>
        <w:trPr/>
        <w:tc>
          <w:tcPr>
            <w:tcBorders/>
            <w:tcW w:w="5807" w:type="dxa"/>
            <w:textDirection w:val="lrTb"/>
            <w:noWrap w:val="false"/>
          </w:tcPr>
          <w:p>
            <w:pPr>
              <w:pBdr/>
              <w:spacing w:line="264" w:lineRule="auto"/>
              <w:ind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Второй квалификационный уровень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4536" w:type="dxa"/>
            <w:textDirection w:val="lrTb"/>
            <w:noWrap w:val="false"/>
          </w:tcPr>
          <w:p>
            <w:pPr>
              <w:pBdr/>
              <w:spacing w:line="264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:lang w:val="en-US"/>
              </w:rPr>
              <w:t xml:space="preserve">25 870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  <w:tr>
        <w:trPr/>
        <w:tc>
          <w:tcPr>
            <w:gridSpan w:val="2"/>
            <w:tcBorders/>
            <w:tcW w:w="10343" w:type="dxa"/>
            <w:textDirection w:val="lrTb"/>
            <w:noWrap w:val="false"/>
          </w:tcPr>
          <w:p>
            <w:pPr>
              <w:pBdr/>
              <w:spacing w:line="264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Профессиональная квалификационная группа «Общеотраслевые профессии 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pBdr/>
              <w:spacing w:line="264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рабочих второго уровня»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  <w:tr>
        <w:trPr/>
        <w:tc>
          <w:tcPr>
            <w:tcBorders/>
            <w:tcW w:w="5807" w:type="dxa"/>
            <w:textDirection w:val="lrTb"/>
            <w:noWrap w:val="false"/>
          </w:tcPr>
          <w:p>
            <w:pPr>
              <w:pBdr/>
              <w:spacing w:line="264" w:lineRule="auto"/>
              <w:ind/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Первый квалификационный уровень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4536" w:type="dxa"/>
            <w:textDirection w:val="lrTb"/>
            <w:noWrap w:val="false"/>
          </w:tcPr>
          <w:p>
            <w:pPr>
              <w:pBdr/>
              <w:spacing w:line="264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:lang w:val="en-US"/>
              </w:rPr>
              <w:t xml:space="preserve">26 030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  <w:tr>
        <w:trPr/>
        <w:tc>
          <w:tcPr>
            <w:tcBorders/>
            <w:tcW w:w="5807" w:type="dxa"/>
            <w:textDirection w:val="lrTb"/>
            <w:noWrap w:val="false"/>
          </w:tcPr>
          <w:p>
            <w:pPr>
              <w:pBdr/>
              <w:spacing w:line="264" w:lineRule="auto"/>
              <w:ind/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Второй квалификационный уровень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4536" w:type="dxa"/>
            <w:textDirection w:val="lrTb"/>
            <w:noWrap w:val="false"/>
          </w:tcPr>
          <w:p>
            <w:pPr>
              <w:pBdr/>
              <w:spacing w:line="264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:lang w:val="en-US"/>
              </w:rPr>
              <w:t xml:space="preserve">26 220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  <w:tr>
        <w:trPr/>
        <w:tc>
          <w:tcPr>
            <w:tcBorders/>
            <w:tcW w:w="5807" w:type="dxa"/>
            <w:textDirection w:val="lrTb"/>
            <w:noWrap w:val="false"/>
          </w:tcPr>
          <w:p>
            <w:pPr>
              <w:pBdr/>
              <w:spacing w:line="264" w:lineRule="auto"/>
              <w:ind/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Третий квалификационный уровень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4536" w:type="dxa"/>
            <w:textDirection w:val="lrTb"/>
            <w:noWrap w:val="false"/>
          </w:tcPr>
          <w:p>
            <w:pPr>
              <w:pBdr/>
              <w:spacing w:line="264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:lang w:val="en-US"/>
              </w:rPr>
              <w:t xml:space="preserve">26 420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  <w:tr>
        <w:trPr/>
        <w:tc>
          <w:tcPr>
            <w:tcBorders/>
            <w:tcW w:w="5807" w:type="dxa"/>
            <w:textDirection w:val="lrTb"/>
            <w:noWrap w:val="false"/>
          </w:tcPr>
          <w:p>
            <w:pPr>
              <w:pBdr/>
              <w:spacing w:line="264" w:lineRule="auto"/>
              <w:ind/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Четвертый квалификационный уровень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4536" w:type="dxa"/>
            <w:textDirection w:val="lrTb"/>
            <w:noWrap w:val="false"/>
          </w:tcPr>
          <w:p>
            <w:pPr>
              <w:pStyle w:val="1009"/>
              <w:pBdr/>
              <w:spacing w:line="264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:lang w:val="en-US"/>
              </w:rPr>
              <w:t xml:space="preserve">27 010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</w:tbl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1009"/>
        <w:pBdr/>
        <w:tabs>
          <w:tab w:val="left" w:leader="none" w:pos="993"/>
        </w:tabs>
        <w:spacing w:after="0" w:line="240" w:lineRule="auto"/>
        <w:ind w:right="0" w:firstLine="850" w:left="0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2.2. Базовые оклады работников профессиональных квалификационных групп общеотраслевых должностей руководителей, специалистов и служащих организаций молодежной политики устанавливаются в следующих размерах: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1009"/>
        <w:pBdr/>
        <w:spacing w:after="0" w:line="240" w:lineRule="auto"/>
        <w:ind w:firstLine="709" w:left="0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tbl>
      <w:tblPr>
        <w:tblW w:w="102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  <w:tblStyle w:val="1024"/>
      </w:tblPr>
      <w:tblGrid>
        <w:gridCol w:w="5807"/>
        <w:gridCol w:w="4394"/>
      </w:tblGrid>
      <w:tr>
        <w:trPr/>
        <w:tc>
          <w:tcPr>
            <w:tcBorders/>
            <w:tcW w:w="5807" w:type="dxa"/>
            <w:textDirection w:val="lrTb"/>
            <w:noWrap w:val="false"/>
          </w:tcPr>
          <w:p>
            <w:pPr>
              <w:pBdr/>
              <w:spacing w:line="264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Квалификационный уровень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4394" w:type="dxa"/>
            <w:textDirection w:val="lrTb"/>
            <w:noWrap w:val="false"/>
          </w:tcPr>
          <w:p>
            <w:pPr>
              <w:pBdr/>
              <w:spacing w:line="264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Размер базового оклада в месяц, рублей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  <w:tr>
        <w:trPr/>
        <w:tc>
          <w:tcPr>
            <w:gridSpan w:val="2"/>
            <w:tcBorders/>
            <w:tcW w:w="10201" w:type="dxa"/>
            <w:textDirection w:val="lrTb"/>
            <w:noWrap w:val="false"/>
          </w:tcPr>
          <w:p>
            <w:pPr>
              <w:pBdr/>
              <w:spacing w:line="264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Профессиональная квалификационная группа 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pBdr/>
              <w:spacing w:line="264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«Общеотраслевые должности 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служащих первого уровня»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  <w:tr>
        <w:trPr/>
        <w:tc>
          <w:tcPr>
            <w:tcBorders/>
            <w:tcW w:w="5807" w:type="dxa"/>
            <w:textDirection w:val="lrTb"/>
            <w:noWrap w:val="false"/>
          </w:tcPr>
          <w:p>
            <w:pPr>
              <w:pBdr/>
              <w:spacing w:line="264" w:lineRule="auto"/>
              <w:ind/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Первый квалификационный уровень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4394" w:type="dxa"/>
            <w:textDirection w:val="lrTb"/>
            <w:noWrap w:val="false"/>
          </w:tcPr>
          <w:p>
            <w:pPr>
              <w:pBdr/>
              <w:spacing w:line="264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:lang w:val="en-US"/>
              </w:rPr>
              <w:t xml:space="preserve">25 650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  <w:tr>
        <w:trPr/>
        <w:tc>
          <w:tcPr>
            <w:tcBorders/>
            <w:tcW w:w="5807" w:type="dxa"/>
            <w:textDirection w:val="lrTb"/>
            <w:noWrap w:val="false"/>
          </w:tcPr>
          <w:p>
            <w:pPr>
              <w:pBdr/>
              <w:spacing w:line="264" w:lineRule="auto"/>
              <w:ind/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Второй квалификационный уровень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4394" w:type="dxa"/>
            <w:textDirection w:val="lrTb"/>
            <w:noWrap w:val="false"/>
          </w:tcPr>
          <w:p>
            <w:pPr>
              <w:pBdr/>
              <w:spacing w:line="264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:lang w:val="en-US"/>
              </w:rPr>
              <w:t xml:space="preserve">25 870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  <w:tr>
        <w:trPr/>
        <w:tc>
          <w:tcPr>
            <w:gridSpan w:val="2"/>
            <w:tcBorders/>
            <w:tcW w:w="10201" w:type="dxa"/>
            <w:textDirection w:val="lrTb"/>
            <w:noWrap w:val="false"/>
          </w:tcPr>
          <w:p>
            <w:pPr>
              <w:pBdr/>
              <w:spacing w:line="264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Профессиональная квалификационная группа 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pBdr/>
              <w:spacing w:line="264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«Общеотраслевые должности 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служащих второго уровня»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  <w:tr>
        <w:trPr/>
        <w:tc>
          <w:tcPr>
            <w:tcBorders/>
            <w:tcW w:w="5807" w:type="dxa"/>
            <w:textDirection w:val="lrTb"/>
            <w:noWrap w:val="false"/>
          </w:tcPr>
          <w:p>
            <w:pPr>
              <w:pBdr/>
              <w:spacing w:line="264" w:lineRule="auto"/>
              <w:ind/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Первый квалификационный уровень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4394" w:type="dxa"/>
            <w:textDirection w:val="lrTb"/>
            <w:noWrap w:val="false"/>
          </w:tcPr>
          <w:p>
            <w:pPr>
              <w:pBdr/>
              <w:spacing w:line="264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:lang w:val="en-US"/>
              </w:rPr>
              <w:t xml:space="preserve">26 030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  <w:tr>
        <w:trPr/>
        <w:tc>
          <w:tcPr>
            <w:tcBorders/>
            <w:tcW w:w="5807" w:type="dxa"/>
            <w:textDirection w:val="lrTb"/>
            <w:noWrap w:val="false"/>
          </w:tcPr>
          <w:p>
            <w:pPr>
              <w:pBdr/>
              <w:spacing w:line="264" w:lineRule="auto"/>
              <w:ind/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Второй квалификационный уровень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4394" w:type="dxa"/>
            <w:textDirection w:val="lrTb"/>
            <w:noWrap w:val="false"/>
          </w:tcPr>
          <w:p>
            <w:pPr>
              <w:pBdr/>
              <w:spacing w:line="264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:lang w:val="en-US"/>
              </w:rPr>
              <w:t xml:space="preserve">26 220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  <w:tr>
        <w:trPr/>
        <w:tc>
          <w:tcPr>
            <w:tcBorders/>
            <w:tcW w:w="5807" w:type="dxa"/>
            <w:textDirection w:val="lrTb"/>
            <w:noWrap w:val="false"/>
          </w:tcPr>
          <w:p>
            <w:pPr>
              <w:pBdr/>
              <w:spacing w:line="264" w:lineRule="auto"/>
              <w:ind/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Третий квалификационный уровень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4394" w:type="dxa"/>
            <w:textDirection w:val="lrTb"/>
            <w:noWrap w:val="false"/>
          </w:tcPr>
          <w:p>
            <w:pPr>
              <w:pBdr/>
              <w:spacing w:line="264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:lang w:val="en-US"/>
              </w:rPr>
              <w:t xml:space="preserve">26 420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  <w:tr>
        <w:trPr/>
        <w:tc>
          <w:tcPr>
            <w:tcBorders/>
            <w:tcW w:w="5807" w:type="dxa"/>
            <w:textDirection w:val="lrTb"/>
            <w:noWrap w:val="false"/>
          </w:tcPr>
          <w:p>
            <w:pPr>
              <w:pBdr/>
              <w:spacing w:line="264" w:lineRule="auto"/>
              <w:ind/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Четвертый квалификационный уровень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4394" w:type="dxa"/>
            <w:textDirection w:val="lrTb"/>
            <w:noWrap w:val="false"/>
          </w:tcPr>
          <w:p>
            <w:pPr>
              <w:pBdr/>
              <w:spacing w:line="264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:lang w:val="en-US"/>
              </w:rPr>
              <w:t xml:space="preserve">26 660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  <w:tr>
        <w:trPr/>
        <w:tc>
          <w:tcPr>
            <w:tcBorders/>
            <w:tcW w:w="5807" w:type="dxa"/>
            <w:textDirection w:val="lrTb"/>
            <w:noWrap w:val="false"/>
          </w:tcPr>
          <w:p>
            <w:pPr>
              <w:pBdr/>
              <w:spacing w:line="264" w:lineRule="auto"/>
              <w:ind/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Пятый квалификационный уровень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4394" w:type="dxa"/>
            <w:textDirection w:val="lrTb"/>
            <w:noWrap w:val="false"/>
          </w:tcPr>
          <w:p>
            <w:pPr>
              <w:pBdr/>
              <w:spacing w:line="264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:lang w:val="en-US"/>
              </w:rPr>
              <w:t xml:space="preserve">26 870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  <w:tr>
        <w:trPr/>
        <w:tc>
          <w:tcPr>
            <w:gridSpan w:val="2"/>
            <w:tcBorders/>
            <w:tcW w:w="10201" w:type="dxa"/>
            <w:textDirection w:val="lrTb"/>
            <w:noWrap w:val="false"/>
          </w:tcPr>
          <w:p>
            <w:pPr>
              <w:pBdr/>
              <w:spacing w:line="264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Профессиональная квалификационная группа 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pBdr/>
              <w:spacing w:line="264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«Общеотраслевые должности 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служащих третьего уровня»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  <w:tr>
        <w:trPr/>
        <w:tc>
          <w:tcPr>
            <w:tcBorders/>
            <w:tcW w:w="5807" w:type="dxa"/>
            <w:textDirection w:val="lrTb"/>
            <w:noWrap w:val="false"/>
          </w:tcPr>
          <w:p>
            <w:pPr>
              <w:pBdr/>
              <w:spacing w:line="264" w:lineRule="auto"/>
              <w:ind/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Первый квалификационный уровень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4394" w:type="dxa"/>
            <w:textDirection w:val="lrTb"/>
            <w:noWrap w:val="false"/>
          </w:tcPr>
          <w:p>
            <w:pPr>
              <w:pBdr/>
              <w:spacing w:line="264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:lang w:val="en-US"/>
              </w:rPr>
              <w:t xml:space="preserve">27 080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  <w:tr>
        <w:trPr/>
        <w:tc>
          <w:tcPr>
            <w:tcBorders/>
            <w:tcW w:w="5807" w:type="dxa"/>
            <w:textDirection w:val="lrTb"/>
            <w:noWrap w:val="false"/>
          </w:tcPr>
          <w:p>
            <w:pPr>
              <w:pBdr/>
              <w:spacing w:line="264" w:lineRule="auto"/>
              <w:ind/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Второй квалификационный уровень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4394" w:type="dxa"/>
            <w:textDirection w:val="lrTb"/>
            <w:noWrap w:val="false"/>
          </w:tcPr>
          <w:p>
            <w:pPr>
              <w:pBdr/>
              <w:spacing w:line="264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:lang w:val="en-US"/>
              </w:rPr>
              <w:t xml:space="preserve">27 300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  <w:tr>
        <w:trPr/>
        <w:tc>
          <w:tcPr>
            <w:tcBorders/>
            <w:tcW w:w="5807" w:type="dxa"/>
            <w:textDirection w:val="lrTb"/>
            <w:noWrap w:val="false"/>
          </w:tcPr>
          <w:p>
            <w:pPr>
              <w:pBdr/>
              <w:spacing w:line="264" w:lineRule="auto"/>
              <w:ind/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Третий квалификационный уровень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4394" w:type="dxa"/>
            <w:textDirection w:val="lrTb"/>
            <w:noWrap w:val="false"/>
          </w:tcPr>
          <w:p>
            <w:pPr>
              <w:pBdr/>
              <w:spacing w:line="264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:lang w:val="en-US"/>
              </w:rPr>
              <w:t xml:space="preserve">27 560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  <w:tr>
        <w:trPr/>
        <w:tc>
          <w:tcPr>
            <w:tcBorders/>
            <w:tcW w:w="5807" w:type="dxa"/>
            <w:textDirection w:val="lrTb"/>
            <w:noWrap w:val="false"/>
          </w:tcPr>
          <w:p>
            <w:pPr>
              <w:pBdr/>
              <w:spacing w:line="264" w:lineRule="auto"/>
              <w:ind/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Четвертый квалификационный уровень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4394" w:type="dxa"/>
            <w:textDirection w:val="lrTb"/>
            <w:noWrap w:val="false"/>
          </w:tcPr>
          <w:p>
            <w:pPr>
              <w:pBdr/>
              <w:spacing w:line="264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:lang w:val="en-US"/>
              </w:rPr>
              <w:t xml:space="preserve">27 780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  <w:tr>
        <w:trPr/>
        <w:tc>
          <w:tcPr>
            <w:tcBorders/>
            <w:tcW w:w="5807" w:type="dxa"/>
            <w:textDirection w:val="lrTb"/>
            <w:noWrap w:val="false"/>
          </w:tcPr>
          <w:p>
            <w:pPr>
              <w:pBdr/>
              <w:spacing w:line="264" w:lineRule="auto"/>
              <w:ind/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Пятый квалификационный уровень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4394" w:type="dxa"/>
            <w:textDirection w:val="lrTb"/>
            <w:noWrap w:val="false"/>
          </w:tcPr>
          <w:p>
            <w:pPr>
              <w:pBdr/>
              <w:spacing w:line="264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:lang w:val="en-US"/>
              </w:rPr>
              <w:t xml:space="preserve">28 000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  <w:tr>
        <w:trPr/>
        <w:tc>
          <w:tcPr>
            <w:gridSpan w:val="2"/>
            <w:tcBorders/>
            <w:tcW w:w="10201" w:type="dxa"/>
            <w:textDirection w:val="lrTb"/>
            <w:noWrap w:val="false"/>
          </w:tcPr>
          <w:p>
            <w:pPr>
              <w:pBdr/>
              <w:spacing w:line="264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Профессиональная квалификационная группа 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pBdr/>
              <w:spacing w:line="264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«Общеотраслевые должности 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служащих четвертого уровня»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  <w:tr>
        <w:trPr/>
        <w:tc>
          <w:tcPr>
            <w:tcBorders/>
            <w:tcW w:w="5807" w:type="dxa"/>
            <w:textDirection w:val="lrTb"/>
            <w:noWrap w:val="false"/>
          </w:tcPr>
          <w:p>
            <w:pPr>
              <w:pBdr/>
              <w:spacing w:line="264" w:lineRule="auto"/>
              <w:ind/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Первый квалификационный уровень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4394" w:type="dxa"/>
            <w:textDirection w:val="lrTb"/>
            <w:noWrap w:val="false"/>
          </w:tcPr>
          <w:p>
            <w:pPr>
              <w:pBdr/>
              <w:spacing w:line="264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:lang w:val="en-US"/>
              </w:rPr>
              <w:t xml:space="preserve">29 040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  <w:tr>
        <w:trPr/>
        <w:tc>
          <w:tcPr>
            <w:tcBorders/>
            <w:tcW w:w="5807" w:type="dxa"/>
            <w:textDirection w:val="lrTb"/>
            <w:noWrap w:val="false"/>
          </w:tcPr>
          <w:p>
            <w:pPr>
              <w:pBdr/>
              <w:spacing w:line="264" w:lineRule="auto"/>
              <w:ind/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Второй квалификационный уровень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4394" w:type="dxa"/>
            <w:textDirection w:val="lrTb"/>
            <w:noWrap w:val="false"/>
          </w:tcPr>
          <w:p>
            <w:pPr>
              <w:pBdr/>
              <w:spacing w:line="264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:lang w:val="en-US"/>
              </w:rPr>
              <w:t xml:space="preserve">29 260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  <w:tr>
        <w:trPr/>
        <w:tc>
          <w:tcPr>
            <w:tcBorders/>
            <w:tcW w:w="5807" w:type="dxa"/>
            <w:textDirection w:val="lrTb"/>
            <w:noWrap w:val="false"/>
          </w:tcPr>
          <w:p>
            <w:pPr>
              <w:pBdr/>
              <w:spacing w:line="264" w:lineRule="auto"/>
              <w:ind/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Третий квалификационный уровень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4394" w:type="dxa"/>
            <w:textDirection w:val="lrTb"/>
            <w:noWrap w:val="false"/>
          </w:tcPr>
          <w:p>
            <w:pPr>
              <w:pBdr/>
              <w:spacing w:line="264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:lang w:val="en-US"/>
              </w:rPr>
              <w:t xml:space="preserve">   29 480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».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</w:tbl>
    <w:p>
      <w:pPr>
        <w:pStyle w:val="1009"/>
        <w:pBdr/>
        <w:spacing w:after="0" w:line="230" w:lineRule="auto"/>
        <w:ind w:firstLine="709" w:left="0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1019"/>
        <w:numPr>
          <w:ilvl w:val="0"/>
          <w:numId w:val="11"/>
        </w:numPr>
        <w:pBdr/>
        <w:tabs>
          <w:tab w:val="left" w:leader="none" w:pos="993"/>
        </w:tabs>
        <w:spacing w:line="230" w:lineRule="auto"/>
        <w:ind w:firstLine="709" w:left="0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Установить, что</w:t>
      </w:r>
      <w:r>
        <w:rPr>
          <w:rFonts w:ascii="Times New Roman" w:hAnsi="Times New Roman"/>
          <w:sz w:val="28"/>
          <w:szCs w:val="28"/>
          <w:highlight w:val="none"/>
        </w:rPr>
        <w:t xml:space="preserve"> настоящее постановление вступает в силу с 1 </w:t>
      </w:r>
      <w:r>
        <w:rPr>
          <w:rFonts w:ascii="Times New Roman" w:hAnsi="Times New Roman"/>
          <w:sz w:val="28"/>
          <w:szCs w:val="28"/>
          <w:highlight w:val="none"/>
        </w:rPr>
        <w:t xml:space="preserve">января </w:t>
      </w:r>
      <w:r>
        <w:rPr>
          <w:rFonts w:ascii="Times New Roman" w:hAnsi="Times New Roman"/>
          <w:sz w:val="28"/>
          <w:szCs w:val="28"/>
          <w:highlight w:val="none"/>
        </w:rPr>
        <w:t xml:space="preserve">202</w:t>
      </w:r>
      <w:r>
        <w:rPr>
          <w:rFonts w:ascii="Times New Roman" w:hAnsi="Times New Roman"/>
          <w:sz w:val="28"/>
          <w:szCs w:val="28"/>
          <w:highlight w:val="none"/>
        </w:rPr>
        <w:t xml:space="preserve">6 года.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1019"/>
        <w:pBdr/>
        <w:spacing/>
        <w:ind w:firstLine="709" w:left="851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1019"/>
        <w:pBdr/>
        <w:spacing/>
        <w:ind w:firstLine="709" w:left="851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Bdr/>
        <w:spacing w:after="0" w:line="288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widowControl w:val="false"/>
        <w:pBdr/>
        <w:spacing w:after="0" w:line="288" w:lineRule="auto"/>
        <w:ind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  <w:t xml:space="preserve">Премьер-министр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widowControl w:val="false"/>
        <w:pBdr/>
        <w:spacing w:after="0" w:line="288" w:lineRule="auto"/>
        <w:ind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Республики Татарстан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ab/>
        <w:tab/>
        <w:tab/>
        <w:tab/>
        <w:tab/>
        <w:tab/>
        <w:tab/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А.В.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 Песошин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widowControl w:val="false"/>
        <w:pBdr/>
        <w:spacing w:after="0" w:line="240" w:lineRule="auto"/>
        <w:ind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pStyle w:val="1019"/>
        <w:pBdr/>
        <w:spacing/>
        <w:ind w:firstLine="709" w:left="851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1019"/>
        <w:pBdr/>
        <w:spacing/>
        <w:ind w:firstLine="709" w:left="851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1019"/>
        <w:pBdr/>
        <w:spacing/>
        <w:ind w:left="851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widowControl w:val="false"/>
        <w:pBdr/>
        <w:tabs>
          <w:tab w:val="right" w:leader="none" w:pos="10204"/>
        </w:tabs>
        <w:spacing w:after="0" w:line="240" w:lineRule="auto"/>
        <w:ind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  <w:sectPr>
          <w:headerReference w:type="default" r:id="rId9"/>
          <w:headerReference w:type="even" r:id="rId10"/>
          <w:footnotePr/>
          <w:endnotePr/>
          <w:type w:val="continuous"/>
          <w:pgSz w:h="16838" w:orient="portrait" w:w="11905"/>
          <w:pgMar w:top="1134" w:right="567" w:bottom="1134" w:left="1134" w:header="567" w:footer="0" w:gutter="0"/>
          <w:pgNumType w:start="1"/>
          <w:cols w:num="1" w:sep="0" w:space="720" w:equalWidth="1"/>
          <w:titlePg/>
        </w:sect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1019"/>
        <w:pBdr/>
        <w:spacing/>
        <w:ind/>
        <w:jc w:val="center"/>
        <w:rPr>
          <w:rFonts w:ascii="Times New Roman" w:hAnsi="Times New Roman" w:cs="Times New Roman"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Cs/>
          <w:sz w:val="28"/>
          <w:szCs w:val="28"/>
          <w:highlight w:val="none"/>
        </w:rPr>
        <w:t xml:space="preserve">ПОЯСНИТЕЛЬНАЯ ЗАПИСКА</w:t>
      </w:r>
      <w:r>
        <w:rPr>
          <w:rFonts w:ascii="Times New Roman" w:hAnsi="Times New Roman" w:cs="Times New Roman"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Cs/>
          <w:sz w:val="28"/>
          <w:szCs w:val="28"/>
          <w:highlight w:val="none"/>
        </w:rPr>
      </w:r>
    </w:p>
    <w:p>
      <w:pPr>
        <w:pStyle w:val="1019"/>
        <w:pBdr/>
        <w:spacing/>
        <w:ind/>
        <w:jc w:val="center"/>
        <w:rPr>
          <w:rFonts w:ascii="Times New Roman" w:hAnsi="Times New Roman" w:cs="Times New Roman"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Cs/>
          <w:sz w:val="28"/>
          <w:szCs w:val="28"/>
          <w:highlight w:val="none"/>
        </w:rPr>
        <w:t xml:space="preserve">к проекту постановления Кабинета Министров Республики Татарстан </w:t>
      </w:r>
      <w:r>
        <w:rPr>
          <w:rFonts w:ascii="Times New Roman" w:hAnsi="Times New Roman" w:cs="Times New Roman"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Cs/>
          <w:sz w:val="28"/>
          <w:szCs w:val="28"/>
          <w:highlight w:val="none"/>
        </w:rPr>
      </w:r>
    </w:p>
    <w:p>
      <w:pPr>
        <w:pStyle w:val="1019"/>
        <w:pBdr/>
        <w:spacing/>
        <w:ind/>
        <w:jc w:val="center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«</w:t>
      </w:r>
      <w:r>
        <w:rPr>
          <w:rFonts w:ascii="Times New Roman" w:hAnsi="Times New Roman"/>
          <w:sz w:val="28"/>
          <w:szCs w:val="28"/>
          <w:highlight w:val="none"/>
        </w:rPr>
        <w:t xml:space="preserve">О внесении изменений в постановление Кабинета Министров 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1019"/>
        <w:pBdr/>
        <w:spacing/>
        <w:ind/>
        <w:jc w:val="center"/>
        <w:rPr>
          <w:rFonts w:ascii="Times New Roman" w:hAnsi="Times New Roman" w:cs="Times New Roman"/>
          <w:bCs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Республики Татарстан от 14.08.2018 № 665</w:t>
      </w:r>
      <w:r>
        <w:rPr>
          <w:rFonts w:ascii="Times New Roman" w:hAnsi="Times New Roman" w:cs="Times New Roman"/>
          <w:bCs/>
          <w:sz w:val="28"/>
          <w:szCs w:val="28"/>
          <w:highlight w:val="none"/>
        </w:rPr>
        <w:t xml:space="preserve"> «</w:t>
      </w:r>
      <w:r>
        <w:rPr>
          <w:rFonts w:ascii="Times New Roman" w:hAnsi="Times New Roman"/>
          <w:bCs/>
          <w:sz w:val="28"/>
          <w:szCs w:val="28"/>
          <w:highlight w:val="none"/>
        </w:rPr>
        <w:t xml:space="preserve">Об условиях оплаты труда работников государственных организаций молодежной политики Республики Татарстан</w:t>
      </w:r>
      <w:r>
        <w:rPr>
          <w:rFonts w:ascii="Times New Roman" w:hAnsi="Times New Roman" w:cs="Times New Roman"/>
          <w:bCs/>
          <w:sz w:val="28"/>
          <w:szCs w:val="28"/>
          <w:highlight w:val="none"/>
        </w:rPr>
        <w:t xml:space="preserve">»</w:t>
      </w:r>
      <w:r>
        <w:rPr>
          <w:rFonts w:ascii="Times New Roman" w:hAnsi="Times New Roman" w:cs="Times New Roman"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Cs/>
          <w:sz w:val="28"/>
          <w:szCs w:val="28"/>
          <w:highlight w:val="none"/>
        </w:rPr>
      </w:r>
    </w:p>
    <w:p>
      <w:pPr>
        <w:pStyle w:val="1019"/>
        <w:pBdr/>
        <w:spacing/>
        <w:ind/>
        <w:jc w:val="center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1019"/>
        <w:pBdr/>
        <w:spacing/>
        <w:ind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Проект постановления </w:t>
      </w:r>
      <w:r>
        <w:rPr>
          <w:rFonts w:ascii="Times New Roman" w:hAnsi="Times New Roman" w:cs="Times New Roman"/>
          <w:bCs/>
          <w:sz w:val="28"/>
          <w:szCs w:val="28"/>
          <w:highlight w:val="none"/>
        </w:rPr>
        <w:t xml:space="preserve">«</w:t>
      </w:r>
      <w:r>
        <w:rPr>
          <w:rFonts w:ascii="Times New Roman" w:hAnsi="Times New Roman"/>
          <w:bCs/>
          <w:sz w:val="28"/>
          <w:szCs w:val="28"/>
          <w:highlight w:val="none"/>
        </w:rPr>
        <w:t xml:space="preserve">О внесении изменений в постановление Кабинета</w:t>
      </w:r>
      <w:r>
        <w:rPr>
          <w:rFonts w:ascii="Times New Roman" w:hAnsi="Times New Roman"/>
          <w:bCs/>
          <w:sz w:val="28"/>
          <w:szCs w:val="28"/>
          <w:highlight w:val="none"/>
        </w:rPr>
        <w:br/>
      </w:r>
      <w:r>
        <w:rPr>
          <w:rFonts w:ascii="Times New Roman" w:hAnsi="Times New Roman"/>
          <w:bCs/>
          <w:sz w:val="28"/>
          <w:szCs w:val="28"/>
          <w:highlight w:val="none"/>
        </w:rPr>
        <w:t xml:space="preserve">Министров Республики Татарстан от </w:t>
      </w:r>
      <w:r>
        <w:rPr>
          <w:rFonts w:ascii="Times New Roman" w:hAnsi="Times New Roman"/>
          <w:bCs/>
          <w:sz w:val="28"/>
          <w:szCs w:val="28"/>
          <w:highlight w:val="none"/>
        </w:rPr>
        <w:t xml:space="preserve">14</w:t>
      </w:r>
      <w:r>
        <w:rPr>
          <w:rFonts w:ascii="Times New Roman" w:hAnsi="Times New Roman"/>
          <w:bCs/>
          <w:sz w:val="28"/>
          <w:szCs w:val="28"/>
          <w:highlight w:val="none"/>
        </w:rPr>
        <w:t xml:space="preserve">.08.201</w:t>
      </w:r>
      <w:r>
        <w:rPr>
          <w:rFonts w:ascii="Times New Roman" w:hAnsi="Times New Roman"/>
          <w:bCs/>
          <w:sz w:val="28"/>
          <w:szCs w:val="28"/>
          <w:highlight w:val="none"/>
        </w:rPr>
        <w:t xml:space="preserve">8</w:t>
      </w:r>
      <w:r>
        <w:rPr>
          <w:rFonts w:ascii="Times New Roman" w:hAnsi="Times New Roman"/>
          <w:bCs/>
          <w:sz w:val="28"/>
          <w:szCs w:val="28"/>
          <w:highlight w:val="none"/>
        </w:rPr>
        <w:t xml:space="preserve"> № 6</w:t>
      </w:r>
      <w:r>
        <w:rPr>
          <w:rFonts w:ascii="Times New Roman" w:hAnsi="Times New Roman"/>
          <w:bCs/>
          <w:sz w:val="28"/>
          <w:szCs w:val="28"/>
          <w:highlight w:val="none"/>
        </w:rPr>
        <w:t xml:space="preserve">65</w:t>
      </w:r>
      <w:r>
        <w:rPr>
          <w:rFonts w:ascii="Times New Roman" w:hAnsi="Times New Roman" w:cs="Times New Roman"/>
          <w:bCs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«</w:t>
      </w:r>
      <w:r>
        <w:rPr>
          <w:rFonts w:ascii="Times New Roman" w:hAnsi="Times New Roman"/>
          <w:bCs/>
          <w:sz w:val="28"/>
          <w:szCs w:val="28"/>
          <w:highlight w:val="none"/>
        </w:rPr>
        <w:t xml:space="preserve">Об условиях оплаты труда работн</w:t>
      </w:r>
      <w:r>
        <w:rPr>
          <w:rFonts w:ascii="Times New Roman" w:hAnsi="Times New Roman"/>
          <w:bCs/>
          <w:sz w:val="28"/>
          <w:szCs w:val="28"/>
          <w:highlight w:val="none"/>
        </w:rPr>
        <w:t xml:space="preserve">иков государственных организаций молодежной политики Республики Татарстан</w:t>
      </w:r>
      <w:r>
        <w:rPr>
          <w:rFonts w:ascii="Times New Roman" w:hAnsi="Times New Roman"/>
          <w:bCs/>
          <w:sz w:val="28"/>
          <w:szCs w:val="28"/>
          <w:highlight w:val="none"/>
        </w:rPr>
        <w:t xml:space="preserve">» </w:t>
      </w:r>
      <w:r>
        <w:rPr>
          <w:rFonts w:ascii="Times New Roman" w:hAnsi="Times New Roman"/>
          <w:bCs/>
          <w:sz w:val="28"/>
          <w:szCs w:val="28"/>
          <w:highlight w:val="none"/>
        </w:rPr>
        <w:t xml:space="preserve">разработан во исполнение </w:t>
      </w:r>
      <w:r>
        <w:rPr>
          <w:rFonts w:ascii="Times New Roman" w:hAnsi="Times New Roman"/>
          <w:bCs/>
          <w:sz w:val="28"/>
          <w:szCs w:val="28"/>
          <w:highlight w:val="none"/>
        </w:rPr>
        <w:t xml:space="preserve">поручения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Раиса Республики Татарстан </w:t>
      </w:r>
      <w:r>
        <w:rPr>
          <w:rFonts w:ascii="Times New Roman" w:hAnsi="Times New Roman" w:cs="Times New Roman"/>
          <w:sz w:val="28"/>
          <w:szCs w:val="28"/>
          <w:highlight w:val="none"/>
        </w:rPr>
        <w:br/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Р.Н.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Минниханова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от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2</w:t>
      </w:r>
      <w:r>
        <w:rPr>
          <w:rFonts w:ascii="Times New Roman" w:hAnsi="Times New Roman" w:cs="Times New Roman"/>
          <w:sz w:val="28"/>
          <w:szCs w:val="28"/>
          <w:highlight w:val="none"/>
          <w:lang w:val="en-US"/>
        </w:rPr>
        <w:t xml:space="preserve">1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.0</w:t>
      </w:r>
      <w:r>
        <w:rPr>
          <w:rFonts w:ascii="Times New Roman" w:hAnsi="Times New Roman" w:cs="Times New Roman"/>
          <w:sz w:val="28"/>
          <w:szCs w:val="28"/>
          <w:highlight w:val="none"/>
          <w:lang w:val="en-US"/>
        </w:rPr>
        <w:t xml:space="preserve">7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.202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5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№ </w:t>
      </w:r>
      <w:r>
        <w:rPr>
          <w:rFonts w:ascii="Times New Roman" w:hAnsi="Times New Roman" w:cs="Times New Roman"/>
          <w:sz w:val="28"/>
          <w:szCs w:val="28"/>
          <w:highlight w:val="none"/>
          <w:lang w:val="en-US"/>
        </w:rPr>
        <w:t xml:space="preserve">35612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-МР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о повышени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и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заработной платы работников государственных и муниципальных учреждений бюджетной сферы.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Bdr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Проектом постановления вносятся изменения в </w:t>
      </w:r>
      <w:hyperlink r:id="rId12" w:tooltip="https://login.consultant.ru/link/?req=doc&amp;base=RLAW363&amp;n=178191&amp;dst=100019" w:history="1">
        <w:r>
          <w:rPr>
            <w:rFonts w:ascii="Times New Roman" w:hAnsi="Times New Roman" w:cs="Times New Roman"/>
            <w:sz w:val="28"/>
            <w:szCs w:val="28"/>
            <w:highlight w:val="none"/>
          </w:rPr>
          <w:t xml:space="preserve">Положение</w:t>
        </w:r>
      </w:hyperlink>
      <w:r>
        <w:rPr>
          <w:rFonts w:ascii="Times New Roman" w:hAnsi="Times New Roman" w:cs="Times New Roman"/>
          <w:sz w:val="28"/>
          <w:szCs w:val="28"/>
          <w:highlight w:val="none"/>
        </w:rPr>
        <w:t xml:space="preserve"> об условия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х оплаты труда работников государственных организаций молодежной политики и отдельных нетиповых организаций, подведомственных Министерству по делам молодежи Республики Татарстан;</w:t>
      </w:r>
      <w:r>
        <w:rPr>
          <w:rFonts w:ascii="Times New Roman" w:hAnsi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Положение об условиях оплаты труда работник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ов профессиональных квалификационных групп общеотраслевых профессий рабочих, рабочих культуры, искусства и кинематографии, общеотраслевых должностей руководителей, специалистов и служащих государственных организаций молодежной политики Рес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публики Татарстан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в части у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величени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я базовых окладов работников</w:t>
      </w:r>
      <w:r>
        <w:rPr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государственных организаций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молодежной политики и отдельных нетиповых организаций, подведомственных Министерству по делам молодежи Республики Татарстан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Bdr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Выделение </w:t>
      </w:r>
      <w:bookmarkStart w:id="4" w:name="_Hlk172193018"/>
      <w:r>
        <w:rPr>
          <w:rFonts w:ascii="Times New Roman" w:hAnsi="Times New Roman" w:cs="Times New Roman"/>
          <w:sz w:val="28"/>
          <w:szCs w:val="28"/>
          <w:highlight w:val="none"/>
        </w:rPr>
      </w:r>
      <w:bookmarkStart w:id="5" w:name="_Hlk172535306"/>
      <w:r>
        <w:rPr>
          <w:rFonts w:ascii="Times New Roman" w:hAnsi="Times New Roman" w:cs="Times New Roman"/>
          <w:sz w:val="28"/>
          <w:szCs w:val="28"/>
          <w:highlight w:val="none"/>
        </w:rPr>
        <w:t xml:space="preserve">с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редств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из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бюджет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а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Республики Татарстан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на указанные цели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согласован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о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Раисом Республики Татарстан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Минниханов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ым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Р.Н. </w:t>
      </w:r>
      <w:bookmarkEnd w:id="4"/>
      <w:r>
        <w:rPr>
          <w:rFonts w:ascii="Times New Roman" w:hAnsi="Times New Roman" w:cs="Times New Roman"/>
          <w:sz w:val="28"/>
          <w:szCs w:val="28"/>
          <w:highlight w:val="none"/>
        </w:rPr>
      </w:r>
      <w:bookmarkEnd w:id="5"/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</w:p>
    <w:p>
      <w:pPr>
        <w:pBdr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none"/>
          <w:lang w:eastAsia="ru-RU"/>
          <w14:ligatures w14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  <w:lang w:eastAsia="ru-RU"/>
        </w:rPr>
        <w:t xml:space="preserve">Отсутствует необходимость</w:t>
      </w:r>
      <w:r>
        <w:rPr>
          <w:rFonts w:ascii="Times New Roman" w:hAnsi="Times New Roman" w:cs="Times New Roman"/>
          <w:sz w:val="28"/>
          <w:szCs w:val="28"/>
          <w:highlight w:val="none"/>
          <w:lang w:eastAsia="ru-RU"/>
        </w:rPr>
        <w:t xml:space="preserve"> в проведении оценки регулирующего воздействия</w:t>
      </w:r>
      <w:r>
        <w:rPr>
          <w:rFonts w:ascii="Times New Roman" w:hAnsi="Times New Roman" w:cs="Times New Roman"/>
          <w:sz w:val="28"/>
          <w:szCs w:val="28"/>
          <w:highlight w:val="none"/>
          <w:lang w:eastAsia="ru-RU"/>
        </w:rPr>
        <w:t xml:space="preserve"> проекта постановления </w:t>
      </w:r>
      <w:r>
        <w:rPr>
          <w:rFonts w:ascii="Times New Roman" w:hAnsi="Times New Roman" w:cs="Times New Roman"/>
          <w:sz w:val="28"/>
          <w:szCs w:val="28"/>
          <w:highlight w:val="none"/>
          <w:lang w:eastAsia="ru-RU"/>
        </w:rPr>
        <w:t xml:space="preserve">Кабинета Министров Республики Татарстан</w:t>
      </w:r>
      <w:r>
        <w:rPr>
          <w:rFonts w:ascii="Times New Roman" w:hAnsi="Times New Roman" w:cs="Times New Roman"/>
          <w:sz w:val="28"/>
          <w:szCs w:val="28"/>
          <w:highlight w:val="none"/>
          <w:lang w:eastAsia="ru-RU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none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</w:p>
    <w:p>
      <w:pPr>
        <w:pBdr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cs="Times New Roman"/>
          <w:sz w:val="28"/>
          <w:szCs w:val="28"/>
          <w:highlight w:val="none"/>
          <w:lang w:eastAsia="ru-RU"/>
        </w:rPr>
        <w:t xml:space="preserve">По итогам</w:t>
      </w:r>
      <w:r>
        <w:rPr>
          <w:rFonts w:ascii="Times New Roman" w:hAnsi="Times New Roman" w:cs="Times New Roman"/>
          <w:sz w:val="28"/>
          <w:szCs w:val="28"/>
          <w:highlight w:val="none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  <w:lang w:eastAsia="ru-RU"/>
        </w:rPr>
        <w:t xml:space="preserve">независимой антикоррупционной экспертизы</w:t>
      </w:r>
      <w:r>
        <w:rPr>
          <w:rFonts w:ascii="Times New Roman" w:hAnsi="Times New Roman" w:cs="Times New Roman"/>
          <w:sz w:val="28"/>
          <w:szCs w:val="28"/>
          <w:highlight w:val="none"/>
          <w:lang w:eastAsia="ru-RU"/>
        </w:rPr>
        <w:t xml:space="preserve"> проекта </w:t>
      </w:r>
      <w:r>
        <w:rPr>
          <w:rFonts w:ascii="Times New Roman" w:hAnsi="Times New Roman" w:cs="Times New Roman"/>
          <w:sz w:val="28"/>
          <w:szCs w:val="28"/>
          <w:highlight w:val="none"/>
          <w:lang w:eastAsia="ru-RU"/>
        </w:rPr>
        <w:t xml:space="preserve">постановления </w:t>
      </w:r>
      <w:r>
        <w:rPr>
          <w:rFonts w:ascii="Times New Roman" w:hAnsi="Times New Roman" w:cs="Times New Roman"/>
          <w:sz w:val="28"/>
          <w:szCs w:val="28"/>
          <w:highlight w:val="none"/>
          <w:lang w:eastAsia="ru-RU"/>
        </w:rPr>
        <w:t xml:space="preserve">Кабинета Министров Республики Татарстан</w:t>
      </w:r>
      <w:r>
        <w:rPr>
          <w:rFonts w:ascii="Times New Roman" w:hAnsi="Times New Roman" w:cs="Times New Roman"/>
          <w:sz w:val="28"/>
          <w:szCs w:val="28"/>
          <w:highlight w:val="none"/>
          <w:lang w:eastAsia="ru-RU"/>
        </w:rPr>
        <w:t xml:space="preserve"> заключений не поступало.</w:t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  <w:r/>
    </w:p>
    <w:p>
      <w:pPr>
        <w:pBdr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</w:p>
    <w:p>
      <w:pPr>
        <w:pStyle w:val="1009"/>
        <w:pBdr/>
        <w:spacing w:after="0" w:line="240" w:lineRule="auto"/>
        <w:ind w:left="1211"/>
        <w:jc w:val="center"/>
        <w:rPr>
          <w:rFonts w:ascii="Times New Roman" w:hAnsi="Times New Roman" w:cs="Times New Roman"/>
          <w:bCs/>
          <w:iCs/>
          <w:sz w:val="28"/>
          <w:szCs w:val="28"/>
          <w:highlight w:val="none"/>
        </w:rPr>
      </w:pPr>
      <w:r>
        <w:rPr>
          <w:rFonts w:ascii="Times New Roman" w:hAnsi="Times New Roman" w:cs="Times New Roman"/>
          <w:bCs/>
          <w:iCs/>
          <w:sz w:val="28"/>
          <w:szCs w:val="28"/>
          <w:highlight w:val="none"/>
        </w:rPr>
      </w:r>
      <w:r>
        <w:rPr>
          <w:rFonts w:ascii="Times New Roman" w:hAnsi="Times New Roman" w:cs="Times New Roman"/>
          <w:bCs/>
          <w:iCs/>
          <w:sz w:val="28"/>
          <w:szCs w:val="28"/>
          <w:highlight w:val="none"/>
        </w:rPr>
      </w:r>
      <w:r>
        <w:rPr>
          <w:rFonts w:ascii="Times New Roman" w:hAnsi="Times New Roman" w:cs="Times New Roman"/>
          <w:bCs/>
          <w:iCs/>
          <w:sz w:val="28"/>
          <w:szCs w:val="28"/>
          <w:highlight w:val="none"/>
        </w:rPr>
      </w:r>
    </w:p>
    <w:sectPr>
      <w:footnotePr/>
      <w:endnotePr/>
      <w:type w:val="nextPage"/>
      <w:pgSz w:h="16838" w:orient="portrait" w:w="11905"/>
      <w:pgMar w:top="1134" w:right="567" w:bottom="1134" w:left="1134" w:header="567" w:footer="0" w:gutter="0"/>
      <w:pgNumType w:start="1"/>
      <w:cols w:num="1" w:sep="0" w:space="720" w:equalWidth="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Style w:val="1009"/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Style w:val="1009"/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Segoe UI">
    <w:panose1 w:val="020B0502040204020203"/>
  </w:font>
  <w:font w:name="Tahoma">
    <w:panose1 w:val="020B060403050404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Style w:val="1009"/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Style w:val="1009"/>
        <w:pBdr/>
        <w:spacing w:after="0" w:line="240" w:lineRule="auto"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909924245"/>
      <w:docPartObj>
        <w:docPartGallery w:val="Page Numbers (Top of Page)"/>
        <w:docPartUnique w:val="true"/>
      </w:docPartObj>
      <w:rPr/>
    </w:sdtPr>
    <w:sdtContent>
      <w:p>
        <w:pPr>
          <w:pStyle w:val="1011"/>
          <w:pBdr/>
          <w:spacing/>
          <w:ind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</w:rPr>
          <w:t xml:space="preserve">4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ascii="Times New Roman" w:hAnsi="Times New Roman" w:cs="Times New Roman"/>
            <w:sz w:val="28"/>
            <w:szCs w:val="28"/>
          </w:rPr>
        </w:r>
        <w:r>
          <w:rPr>
            <w:rFonts w:ascii="Times New Roman" w:hAnsi="Times New Roman" w:cs="Times New Roman"/>
            <w:sz w:val="28"/>
            <w:szCs w:val="28"/>
          </w:rPr>
        </w:r>
      </w:p>
    </w:sdtContent>
  </w:sdt>
  <w:p>
    <w:pPr>
      <w:pStyle w:val="1011"/>
      <w:pBdr/>
      <w:spacing/>
      <w:ind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</w:r>
    <w:r>
      <w:rPr>
        <w:rFonts w:ascii="Times New Roman" w:hAnsi="Times New Roman" w:cs="Times New Roman"/>
        <w:sz w:val="28"/>
        <w:szCs w:val="28"/>
      </w:rPr>
    </w:r>
    <w:r>
      <w:rPr>
        <w:rFonts w:ascii="Times New Roman" w:hAnsi="Times New Roman" w:cs="Times New Roman"/>
        <w:sz w:val="28"/>
        <w:szCs w:val="28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179785014"/>
      <w:docPartObj>
        <w:docPartGallery w:val="Page Numbers (Top of Page)"/>
        <w:docPartUnique w:val="true"/>
      </w:docPartObj>
      <w:rPr/>
    </w:sdtPr>
    <w:sdtContent>
      <w:p>
        <w:pPr>
          <w:pStyle w:val="1011"/>
          <w:pBdr/>
          <w:spacing/>
          <w:ind/>
          <w:jc w:val="center"/>
          <w:rPr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 xml:space="preserve">6</w:t>
        </w:r>
        <w:r>
          <w:fldChar w:fldCharType="end"/>
        </w:r>
        <w:r/>
      </w:p>
    </w:sdtContent>
  </w:sdt>
  <w:p>
    <w:pPr>
      <w:pStyle w:val="1011"/>
      <w:pBdr/>
      <w:spacing/>
      <w:ind/>
      <w:rPr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decimal"/>
      <w:pPr>
        <w:pBdr/>
        <w:spacing/>
        <w:ind w:hanging="360" w:left="2062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9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1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3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5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7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9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1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30"/>
      </w:pPr>
      <w:rPr/>
      <w:start w:val="1"/>
      <w:suff w:val="tab"/>
    </w:lvl>
  </w:abstractNum>
  <w:abstractNum w:abstractNumId="1">
    <w:lvl w:ilvl="0">
      <w:isLgl w:val="false"/>
      <w:lvlJc w:val="left"/>
      <w:lvlText w:val="%1"/>
      <w:numFmt w:val="decimal"/>
      <w:pPr>
        <w:pBdr/>
        <w:spacing/>
        <w:ind w:hanging="360" w:left="720"/>
      </w:pPr>
      <w:rPr>
        <w:rFonts w:hint="default"/>
      </w:rPr>
      <w:start w:val="20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1211"/>
      </w:pPr>
      <w:rPr>
        <w:rFonts w:hint="default"/>
      </w:rPr>
      <w:start w:val="1"/>
      <w:suff w:val="tab"/>
    </w:lvl>
    <w:lvl w:ilvl="1">
      <w:isLgl w:val="true"/>
      <w:lvlJc w:val="left"/>
      <w:lvlText w:val="%1.%2."/>
      <w:numFmt w:val="decimal"/>
      <w:pPr>
        <w:pBdr/>
        <w:spacing/>
        <w:ind w:hanging="720" w:left="1571"/>
      </w:pPr>
      <w:rPr>
        <w:rFonts w:hint="default" w:eastAsiaTheme="minorEastAsia"/>
      </w:rPr>
      <w:start w:val="1"/>
      <w:suff w:val="tab"/>
    </w:lvl>
    <w:lvl w:ilvl="2">
      <w:isLgl w:val="true"/>
      <w:lvlJc w:val="left"/>
      <w:lvlText w:val="%1.%2.%3."/>
      <w:numFmt w:val="decimal"/>
      <w:pPr>
        <w:pBdr/>
        <w:spacing/>
        <w:ind w:hanging="720" w:left="1571"/>
      </w:pPr>
      <w:rPr>
        <w:rFonts w:hint="default" w:eastAsiaTheme="minorEastAsia"/>
      </w:rPr>
      <w:start w:val="1"/>
      <w:suff w:val="tab"/>
    </w:lvl>
    <w:lvl w:ilvl="3">
      <w:isLgl w:val="true"/>
      <w:lvlJc w:val="left"/>
      <w:lvlText w:val="%1.%2.%3.%4."/>
      <w:numFmt w:val="decimal"/>
      <w:pPr>
        <w:pBdr/>
        <w:spacing/>
        <w:ind w:hanging="1080" w:left="1931"/>
      </w:pPr>
      <w:rPr>
        <w:rFonts w:hint="default" w:eastAsiaTheme="minorEastAsia"/>
      </w:rPr>
      <w:start w:val="1"/>
      <w:suff w:val="tab"/>
    </w:lvl>
    <w:lvl w:ilvl="4">
      <w:isLgl w:val="true"/>
      <w:lvlJc w:val="left"/>
      <w:lvlText w:val="%1.%2.%3.%4.%5."/>
      <w:numFmt w:val="decimal"/>
      <w:pPr>
        <w:pBdr/>
        <w:spacing/>
        <w:ind w:hanging="1080" w:left="1931"/>
      </w:pPr>
      <w:rPr>
        <w:rFonts w:hint="default" w:eastAsiaTheme="minorEastAsia"/>
      </w:rPr>
      <w:start w:val="1"/>
      <w:suff w:val="tab"/>
    </w:lvl>
    <w:lvl w:ilvl="5">
      <w:isLgl w:val="true"/>
      <w:lvlJc w:val="left"/>
      <w:lvlText w:val="%1.%2.%3.%4.%5.%6."/>
      <w:numFmt w:val="decimal"/>
      <w:pPr>
        <w:pBdr/>
        <w:spacing/>
        <w:ind w:hanging="1440" w:left="2291"/>
      </w:pPr>
      <w:rPr>
        <w:rFonts w:hint="default" w:eastAsiaTheme="minorEastAsia"/>
      </w:rPr>
      <w:start w:val="1"/>
      <w:suff w:val="tab"/>
    </w:lvl>
    <w:lvl w:ilvl="6">
      <w:isLgl w:val="true"/>
      <w:lvlJc w:val="left"/>
      <w:lvlText w:val="%1.%2.%3.%4.%5.%6.%7."/>
      <w:numFmt w:val="decimal"/>
      <w:pPr>
        <w:pBdr/>
        <w:spacing/>
        <w:ind w:hanging="1800" w:left="2651"/>
      </w:pPr>
      <w:rPr>
        <w:rFonts w:hint="default" w:eastAsiaTheme="minorEastAsia"/>
      </w:rPr>
      <w:start w:val="1"/>
      <w:suff w:val="tab"/>
    </w:lvl>
    <w:lvl w:ilvl="7">
      <w:isLgl w:val="true"/>
      <w:lvlJc w:val="left"/>
      <w:lvlText w:val="%1.%2.%3.%4.%5.%6.%7.%8."/>
      <w:numFmt w:val="decimal"/>
      <w:pPr>
        <w:pBdr/>
        <w:spacing/>
        <w:ind w:hanging="1800" w:left="2651"/>
      </w:pPr>
      <w:rPr>
        <w:rFonts w:hint="default" w:eastAsiaTheme="minorEastAsia"/>
      </w:rPr>
      <w:start w:val="1"/>
      <w:suff w:val="tab"/>
    </w:lvl>
    <w:lvl w:ilvl="8">
      <w:isLgl w:val="true"/>
      <w:lvlJc w:val="left"/>
      <w:lvlText w:val="%1.%2.%3.%4.%5.%6.%7.%8.%9."/>
      <w:numFmt w:val="decimal"/>
      <w:pPr>
        <w:pBdr/>
        <w:spacing/>
        <w:ind w:hanging="2160" w:left="3011"/>
      </w:pPr>
      <w:rPr>
        <w:rFonts w:hint="default" w:eastAsiaTheme="minorEastAsia"/>
      </w:rPr>
      <w:start w:val="1"/>
      <w:suff w:val="tab"/>
    </w:lvl>
  </w:abstractNum>
  <w:abstractNum w:abstractNumId="3">
    <w:lvl w:ilvl="0">
      <w:isLgl w:val="false"/>
      <w:lvlJc w:val="left"/>
      <w:lvlText w:val="%1."/>
      <w:numFmt w:val="decimal"/>
      <w:pPr>
        <w:pBdr/>
        <w:spacing/>
        <w:ind w:hanging="360" w:left="107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9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1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3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5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7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9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1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30"/>
      </w:pPr>
      <w:rPr/>
      <w:start w:val="1"/>
      <w:suff w:val="tab"/>
    </w:lvl>
  </w:abstractNum>
  <w:abstractNum w:abstractNumId="4">
    <w:lvl w:ilvl="0">
      <w:isLgl w:val="false"/>
      <w:lvlJc w:val="left"/>
      <w:lvlText w:val="%1)"/>
      <w:numFmt w:val="decimal"/>
      <w:pPr>
        <w:pBdr/>
        <w:spacing/>
        <w:ind w:hanging="360" w:left="1211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931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651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371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4091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811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531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251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971"/>
      </w:pPr>
      <w:rPr/>
      <w:start w:val="1"/>
      <w:suff w:val="tab"/>
    </w:lvl>
  </w:abstractNum>
  <w:abstractNum w:abstractNumId="5">
    <w:lvl w:ilvl="0">
      <w:isLgl w:val="false"/>
      <w:lvlJc w:val="left"/>
      <w:lvlText w:val="%1"/>
      <w:numFmt w:val="decimal"/>
      <w:pPr>
        <w:pBdr/>
        <w:spacing/>
        <w:ind w:hanging="360" w:left="720"/>
      </w:pPr>
      <w:rPr>
        <w:rFonts w:hint="default"/>
      </w:rPr>
      <w:start w:val="20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6">
    <w:lvl w:ilvl="0">
      <w:isLgl w:val="false"/>
      <w:lvlJc w:val="left"/>
      <w:lvlText w:val="%1."/>
      <w:numFmt w:val="decimal"/>
      <w:pPr>
        <w:pBdr/>
        <w:spacing/>
        <w:ind w:hanging="450" w:left="1301"/>
      </w:pPr>
      <w:rPr>
        <w:rFonts w:hint="default"/>
      </w:rPr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720" w:left="1713"/>
      </w:pPr>
      <w:rPr>
        <w:rFonts w:hint="default"/>
      </w:rPr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720" w:left="2422"/>
      </w:pPr>
      <w:rPr>
        <w:rFonts w:hint="default"/>
      </w:rPr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1080" w:left="3633"/>
      </w:pPr>
      <w:rPr>
        <w:rFonts w:hint="default"/>
      </w:rPr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1080" w:left="4484"/>
      </w:pPr>
      <w:rPr>
        <w:rFonts w:hint="default"/>
      </w:rPr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1440" w:left="5695"/>
      </w:pPr>
      <w:rPr>
        <w:rFonts w:hint="default"/>
      </w:rPr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800" w:left="6906"/>
      </w:pPr>
      <w:rPr>
        <w:rFonts w:hint="default"/>
      </w:rPr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800" w:left="7757"/>
      </w:pPr>
      <w:rPr>
        <w:rFonts w:hint="default"/>
      </w:rPr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2160" w:left="8968"/>
      </w:pPr>
      <w:rPr>
        <w:rFonts w:hint="default"/>
      </w:rPr>
      <w:start w:val="1"/>
      <w:suff w:val="tab"/>
    </w:lvl>
  </w:abstractNum>
  <w:abstractNum w:abstractNumId="7">
    <w:lvl w:ilvl="0">
      <w:isLgl w:val="false"/>
      <w:lvlJc w:val="left"/>
      <w:lvlText w:val="%1."/>
      <w:numFmt w:val="upperRoman"/>
      <w:pPr>
        <w:pBdr/>
        <w:spacing/>
        <w:ind w:hanging="720" w:left="108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8">
    <w:lvl w:ilvl="0">
      <w:isLgl w:val="false"/>
      <w:lvlJc w:val="left"/>
      <w:lvlText w:val="%1."/>
      <w:numFmt w:val="decimal"/>
      <w:pPr>
        <w:pBdr/>
        <w:spacing/>
        <w:ind w:hanging="1275" w:left="2126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931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651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371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4091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811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531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251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971"/>
      </w:pPr>
      <w:rPr/>
      <w:start w:val="1"/>
      <w:suff w:val="tab"/>
    </w:lvl>
  </w:abstractNum>
  <w:abstractNum w:abstractNumId="9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true"/>
      <w:lvlJc w:val="left"/>
      <w:lvlText w:val="%1.%2."/>
      <w:numFmt w:val="decimal"/>
      <w:pPr>
        <w:pBdr/>
        <w:spacing/>
        <w:ind w:hanging="720" w:left="1440"/>
      </w:pPr>
      <w:rPr>
        <w:rFonts w:hint="default"/>
      </w:rPr>
      <w:start w:val="1"/>
      <w:suff w:val="tab"/>
    </w:lvl>
    <w:lvl w:ilvl="2">
      <w:isLgl w:val="true"/>
      <w:lvlJc w:val="left"/>
      <w:lvlText w:val="%1.%2.%3."/>
      <w:numFmt w:val="decimal"/>
      <w:pPr>
        <w:pBdr/>
        <w:spacing/>
        <w:ind w:hanging="720" w:left="1800"/>
      </w:pPr>
      <w:rPr>
        <w:rFonts w:hint="default"/>
      </w:rPr>
      <w:start w:val="1"/>
      <w:suff w:val="tab"/>
    </w:lvl>
    <w:lvl w:ilvl="3">
      <w:isLgl w:val="true"/>
      <w:lvlJc w:val="left"/>
      <w:lvlText w:val="%1.%2.%3.%4."/>
      <w:numFmt w:val="decimal"/>
      <w:pPr>
        <w:pBdr/>
        <w:spacing/>
        <w:ind w:hanging="1080" w:left="2520"/>
      </w:pPr>
      <w:rPr>
        <w:rFonts w:hint="default"/>
      </w:rPr>
      <w:start w:val="1"/>
      <w:suff w:val="tab"/>
    </w:lvl>
    <w:lvl w:ilvl="4">
      <w:isLgl w:val="true"/>
      <w:lvlJc w:val="left"/>
      <w:lvlText w:val="%1.%2.%3.%4.%5."/>
      <w:numFmt w:val="decimal"/>
      <w:pPr>
        <w:pBdr/>
        <w:spacing/>
        <w:ind w:hanging="1080" w:left="2880"/>
      </w:pPr>
      <w:rPr>
        <w:rFonts w:hint="default"/>
      </w:rPr>
      <w:start w:val="1"/>
      <w:suff w:val="tab"/>
    </w:lvl>
    <w:lvl w:ilvl="5">
      <w:isLgl w:val="true"/>
      <w:lvlJc w:val="left"/>
      <w:lvlText w:val="%1.%2.%3.%4.%5.%6."/>
      <w:numFmt w:val="decimal"/>
      <w:pPr>
        <w:pBdr/>
        <w:spacing/>
        <w:ind w:hanging="1440" w:left="3600"/>
      </w:pPr>
      <w:rPr>
        <w:rFonts w:hint="default"/>
      </w:rPr>
      <w:start w:val="1"/>
      <w:suff w:val="tab"/>
    </w:lvl>
    <w:lvl w:ilvl="6">
      <w:isLgl w:val="true"/>
      <w:lvlJc w:val="left"/>
      <w:lvlText w:val="%1.%2.%3.%4.%5.%6.%7."/>
      <w:numFmt w:val="decimal"/>
      <w:pPr>
        <w:pBdr/>
        <w:spacing/>
        <w:ind w:hanging="1800" w:left="4320"/>
      </w:pPr>
      <w:rPr>
        <w:rFonts w:hint="default"/>
      </w:rPr>
      <w:start w:val="1"/>
      <w:suff w:val="tab"/>
    </w:lvl>
    <w:lvl w:ilvl="7">
      <w:isLgl w:val="true"/>
      <w:lvlJc w:val="left"/>
      <w:lvlText w:val="%1.%2.%3.%4.%5.%6.%7.%8."/>
      <w:numFmt w:val="decimal"/>
      <w:pPr>
        <w:pBdr/>
        <w:spacing/>
        <w:ind w:hanging="1800" w:left="4680"/>
      </w:pPr>
      <w:rPr>
        <w:rFonts w:hint="default"/>
      </w:rPr>
      <w:start w:val="1"/>
      <w:suff w:val="tab"/>
    </w:lvl>
    <w:lvl w:ilvl="8">
      <w:isLgl w:val="true"/>
      <w:lvlJc w:val="left"/>
      <w:lvlText w:val="%1.%2.%3.%4.%5.%6.%7.%8.%9."/>
      <w:numFmt w:val="decimal"/>
      <w:pPr>
        <w:pBdr/>
        <w:spacing/>
        <w:ind w:hanging="2160" w:left="5400"/>
      </w:pPr>
      <w:rPr>
        <w:rFonts w:hint="default"/>
      </w:rPr>
      <w:start w:val="1"/>
      <w:suff w:val="tab"/>
    </w:lvl>
  </w:abstractNum>
  <w:abstractNum w:abstractNumId="10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1">
    <w:lvl w:ilvl="0">
      <w:isLgl w:val="false"/>
      <w:lvlJc w:val="left"/>
      <w:lvlText w:val="%1."/>
      <w:numFmt w:val="decimal"/>
      <w:pPr>
        <w:pBdr/>
        <w:spacing/>
        <w:ind w:hanging="360" w:left="1211"/>
      </w:pPr>
      <w:rPr>
        <w:rFonts w:hint="default"/>
      </w:rPr>
      <w:start w:val="1"/>
      <w:suff w:val="tab"/>
    </w:lvl>
    <w:lvl w:ilvl="1">
      <w:isLgl w:val="true"/>
      <w:lvlJc w:val="left"/>
      <w:lvlText w:val="%1.%2."/>
      <w:numFmt w:val="decimal"/>
      <w:pPr>
        <w:pBdr/>
        <w:spacing/>
        <w:ind w:hanging="720" w:left="1571"/>
      </w:pPr>
      <w:rPr>
        <w:rFonts w:hint="default"/>
      </w:rPr>
      <w:start w:val="6"/>
      <w:suff w:val="tab"/>
    </w:lvl>
    <w:lvl w:ilvl="2">
      <w:isLgl w:val="true"/>
      <w:lvlJc w:val="left"/>
      <w:lvlText w:val="%1.%2.%3."/>
      <w:numFmt w:val="decimal"/>
      <w:pPr>
        <w:pBdr/>
        <w:spacing/>
        <w:ind w:hanging="720" w:left="1571"/>
      </w:pPr>
      <w:rPr>
        <w:rFonts w:hint="default"/>
      </w:rPr>
      <w:start w:val="1"/>
      <w:suff w:val="tab"/>
    </w:lvl>
    <w:lvl w:ilvl="3">
      <w:isLgl w:val="true"/>
      <w:lvlJc w:val="left"/>
      <w:lvlText w:val="%1.%2.%3.%4."/>
      <w:numFmt w:val="decimal"/>
      <w:pPr>
        <w:pBdr/>
        <w:spacing/>
        <w:ind w:hanging="1080" w:left="1931"/>
      </w:pPr>
      <w:rPr>
        <w:rFonts w:hint="default"/>
      </w:rPr>
      <w:start w:val="1"/>
      <w:suff w:val="tab"/>
    </w:lvl>
    <w:lvl w:ilvl="4">
      <w:isLgl w:val="true"/>
      <w:lvlJc w:val="left"/>
      <w:lvlText w:val="%1.%2.%3.%4.%5."/>
      <w:numFmt w:val="decimal"/>
      <w:pPr>
        <w:pBdr/>
        <w:spacing/>
        <w:ind w:hanging="1080" w:left="1931"/>
      </w:pPr>
      <w:rPr>
        <w:rFonts w:hint="default"/>
      </w:rPr>
      <w:start w:val="1"/>
      <w:suff w:val="tab"/>
    </w:lvl>
    <w:lvl w:ilvl="5">
      <w:isLgl w:val="true"/>
      <w:lvlJc w:val="left"/>
      <w:lvlText w:val="%1.%2.%3.%4.%5.%6."/>
      <w:numFmt w:val="decimal"/>
      <w:pPr>
        <w:pBdr/>
        <w:spacing/>
        <w:ind w:hanging="1440" w:left="2291"/>
      </w:pPr>
      <w:rPr>
        <w:rFonts w:hint="default"/>
      </w:rPr>
      <w:start w:val="1"/>
      <w:suff w:val="tab"/>
    </w:lvl>
    <w:lvl w:ilvl="6">
      <w:isLgl w:val="true"/>
      <w:lvlJc w:val="left"/>
      <w:lvlText w:val="%1.%2.%3.%4.%5.%6.%7."/>
      <w:numFmt w:val="decimal"/>
      <w:pPr>
        <w:pBdr/>
        <w:spacing/>
        <w:ind w:hanging="1800" w:left="2651"/>
      </w:pPr>
      <w:rPr>
        <w:rFonts w:hint="default"/>
      </w:rPr>
      <w:start w:val="1"/>
      <w:suff w:val="tab"/>
    </w:lvl>
    <w:lvl w:ilvl="7">
      <w:isLgl w:val="true"/>
      <w:lvlJc w:val="left"/>
      <w:lvlText w:val="%1.%2.%3.%4.%5.%6.%7.%8."/>
      <w:numFmt w:val="decimal"/>
      <w:pPr>
        <w:pBdr/>
        <w:spacing/>
        <w:ind w:hanging="1800" w:left="2651"/>
      </w:pPr>
      <w:rPr>
        <w:rFonts w:hint="default"/>
      </w:rPr>
      <w:start w:val="1"/>
      <w:suff w:val="tab"/>
    </w:lvl>
    <w:lvl w:ilvl="8">
      <w:isLgl w:val="true"/>
      <w:lvlJc w:val="left"/>
      <w:lvlText w:val="%1.%2.%3.%4.%5.%6.%7.%8.%9."/>
      <w:numFmt w:val="decimal"/>
      <w:pPr>
        <w:pBdr/>
        <w:spacing/>
        <w:ind w:hanging="2160" w:left="3011"/>
      </w:pPr>
      <w:rPr>
        <w:rFonts w:hint="default"/>
      </w:rPr>
      <w:start w:val="1"/>
      <w:suff w:val="tab"/>
    </w:lvl>
  </w:abstractNum>
  <w:abstractNum w:abstractNumId="12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true"/>
      <w:lvlJc w:val="left"/>
      <w:lvlText w:val="%2."/>
      <w:numFmt w:val="decimal"/>
      <w:pPr>
        <w:pBdr/>
        <w:spacing/>
        <w:ind w:hanging="720" w:left="1430"/>
      </w:pPr>
      <w:rPr>
        <w:rFonts w:ascii="Times New Roman" w:hAnsi="Times New Roman" w:eastAsia="Times New Roman" w:cs="Times New Roman"/>
      </w:rPr>
      <w:start w:val="1"/>
      <w:suff w:val="tab"/>
    </w:lvl>
    <w:lvl w:ilvl="2">
      <w:isLgl w:val="true"/>
      <w:lvlJc w:val="left"/>
      <w:lvlText w:val="%1.%2.%3."/>
      <w:numFmt w:val="decimal"/>
      <w:pPr>
        <w:pBdr/>
        <w:spacing/>
        <w:ind w:hanging="720" w:left="1571"/>
      </w:pPr>
      <w:rPr>
        <w:rFonts w:hint="default"/>
      </w:rPr>
      <w:start w:val="1"/>
      <w:suff w:val="tab"/>
    </w:lvl>
    <w:lvl w:ilvl="3">
      <w:isLgl w:val="true"/>
      <w:lvlJc w:val="left"/>
      <w:lvlText w:val="%1.%2.%3.%4."/>
      <w:numFmt w:val="decimal"/>
      <w:pPr>
        <w:pBdr/>
        <w:spacing/>
        <w:ind w:hanging="1080" w:left="2520"/>
      </w:pPr>
      <w:rPr>
        <w:rFonts w:hint="default"/>
      </w:rPr>
      <w:start w:val="1"/>
      <w:suff w:val="tab"/>
    </w:lvl>
    <w:lvl w:ilvl="4">
      <w:isLgl w:val="true"/>
      <w:lvlJc w:val="left"/>
      <w:lvlText w:val="%1.%2.%3.%4.%5."/>
      <w:numFmt w:val="decimal"/>
      <w:pPr>
        <w:pBdr/>
        <w:spacing/>
        <w:ind w:hanging="1080" w:left="2880"/>
      </w:pPr>
      <w:rPr>
        <w:rFonts w:hint="default"/>
      </w:rPr>
      <w:start w:val="1"/>
      <w:suff w:val="tab"/>
    </w:lvl>
    <w:lvl w:ilvl="5">
      <w:isLgl w:val="true"/>
      <w:lvlJc w:val="left"/>
      <w:lvlText w:val="%1.%2.%3.%4.%5.%6."/>
      <w:numFmt w:val="decimal"/>
      <w:pPr>
        <w:pBdr/>
        <w:spacing/>
        <w:ind w:hanging="1440" w:left="3600"/>
      </w:pPr>
      <w:rPr>
        <w:rFonts w:hint="default"/>
      </w:rPr>
      <w:start w:val="1"/>
      <w:suff w:val="tab"/>
    </w:lvl>
    <w:lvl w:ilvl="6">
      <w:isLgl w:val="true"/>
      <w:lvlJc w:val="left"/>
      <w:lvlText w:val="%1.%2.%3.%4.%5.%6.%7."/>
      <w:numFmt w:val="decimal"/>
      <w:pPr>
        <w:pBdr/>
        <w:spacing/>
        <w:ind w:hanging="1800" w:left="4320"/>
      </w:pPr>
      <w:rPr>
        <w:rFonts w:hint="default"/>
      </w:rPr>
      <w:start w:val="1"/>
      <w:suff w:val="tab"/>
    </w:lvl>
    <w:lvl w:ilvl="7">
      <w:isLgl w:val="true"/>
      <w:lvlJc w:val="left"/>
      <w:lvlText w:val="%1.%2.%3.%4.%5.%6.%7.%8."/>
      <w:numFmt w:val="decimal"/>
      <w:pPr>
        <w:pBdr/>
        <w:spacing/>
        <w:ind w:hanging="1800" w:left="4680"/>
      </w:pPr>
      <w:rPr>
        <w:rFonts w:hint="default"/>
      </w:rPr>
      <w:start w:val="1"/>
      <w:suff w:val="tab"/>
    </w:lvl>
    <w:lvl w:ilvl="8">
      <w:isLgl w:val="true"/>
      <w:lvlJc w:val="left"/>
      <w:lvlText w:val="%1.%2.%3.%4.%5.%6.%7.%8.%9."/>
      <w:numFmt w:val="decimal"/>
      <w:pPr>
        <w:pBdr/>
        <w:spacing/>
        <w:ind w:hanging="2160" w:left="5400"/>
      </w:pPr>
      <w:rPr>
        <w:rFonts w:hint="default"/>
      </w:rPr>
      <w:start w:val="1"/>
      <w:suff w:val="tab"/>
    </w:lvl>
  </w:abstractNum>
  <w:abstractNum w:abstractNumId="13">
    <w:lvl w:ilvl="0">
      <w:isLgl w:val="false"/>
      <w:lvlJc w:val="left"/>
      <w:lvlText w:val="%1."/>
      <w:numFmt w:val="decimal"/>
      <w:pPr>
        <w:pBdr/>
        <w:spacing/>
        <w:ind w:hanging="360" w:left="1211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931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651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371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4091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811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531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251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971"/>
      </w:pPr>
      <w:rPr/>
      <w:start w:val="1"/>
      <w:suff w:val="tab"/>
    </w:lvl>
  </w:abstractNum>
  <w:abstractNum w:abstractNumId="14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true"/>
      <w:lvlJc w:val="left"/>
      <w:lvlText w:val="%1.%2."/>
      <w:numFmt w:val="decimal"/>
      <w:pPr>
        <w:pBdr/>
        <w:spacing/>
        <w:ind w:hanging="720" w:left="1571"/>
      </w:pPr>
      <w:rPr>
        <w:rFonts w:hint="default"/>
      </w:rPr>
      <w:start w:val="1"/>
      <w:suff w:val="tab"/>
    </w:lvl>
    <w:lvl w:ilvl="2">
      <w:isLgl w:val="true"/>
      <w:lvlJc w:val="left"/>
      <w:lvlText w:val="%1.%2.%3."/>
      <w:numFmt w:val="decimal"/>
      <w:pPr>
        <w:pBdr/>
        <w:spacing/>
        <w:ind w:hanging="720" w:left="1571"/>
      </w:pPr>
      <w:rPr>
        <w:rFonts w:hint="default"/>
      </w:rPr>
      <w:start w:val="1"/>
      <w:suff w:val="tab"/>
    </w:lvl>
    <w:lvl w:ilvl="3">
      <w:isLgl w:val="true"/>
      <w:lvlJc w:val="left"/>
      <w:lvlText w:val="%1.%2.%3.%4."/>
      <w:numFmt w:val="decimal"/>
      <w:pPr>
        <w:pBdr/>
        <w:spacing/>
        <w:ind w:hanging="1080" w:left="2520"/>
      </w:pPr>
      <w:rPr>
        <w:rFonts w:hint="default"/>
      </w:rPr>
      <w:start w:val="1"/>
      <w:suff w:val="tab"/>
    </w:lvl>
    <w:lvl w:ilvl="4">
      <w:isLgl w:val="true"/>
      <w:lvlJc w:val="left"/>
      <w:lvlText w:val="%1.%2.%3.%4.%5."/>
      <w:numFmt w:val="decimal"/>
      <w:pPr>
        <w:pBdr/>
        <w:spacing/>
        <w:ind w:hanging="1080" w:left="2880"/>
      </w:pPr>
      <w:rPr>
        <w:rFonts w:hint="default"/>
      </w:rPr>
      <w:start w:val="1"/>
      <w:suff w:val="tab"/>
    </w:lvl>
    <w:lvl w:ilvl="5">
      <w:isLgl w:val="true"/>
      <w:lvlJc w:val="left"/>
      <w:lvlText w:val="%1.%2.%3.%4.%5.%6."/>
      <w:numFmt w:val="decimal"/>
      <w:pPr>
        <w:pBdr/>
        <w:spacing/>
        <w:ind w:hanging="1440" w:left="3600"/>
      </w:pPr>
      <w:rPr>
        <w:rFonts w:hint="default"/>
      </w:rPr>
      <w:start w:val="1"/>
      <w:suff w:val="tab"/>
    </w:lvl>
    <w:lvl w:ilvl="6">
      <w:isLgl w:val="true"/>
      <w:lvlJc w:val="left"/>
      <w:lvlText w:val="%1.%2.%3.%4.%5.%6.%7."/>
      <w:numFmt w:val="decimal"/>
      <w:pPr>
        <w:pBdr/>
        <w:spacing/>
        <w:ind w:hanging="1800" w:left="4320"/>
      </w:pPr>
      <w:rPr>
        <w:rFonts w:hint="default"/>
      </w:rPr>
      <w:start w:val="1"/>
      <w:suff w:val="tab"/>
    </w:lvl>
    <w:lvl w:ilvl="7">
      <w:isLgl w:val="true"/>
      <w:lvlJc w:val="left"/>
      <w:lvlText w:val="%1.%2.%3.%4.%5.%6.%7.%8."/>
      <w:numFmt w:val="decimal"/>
      <w:pPr>
        <w:pBdr/>
        <w:spacing/>
        <w:ind w:hanging="1800" w:left="4680"/>
      </w:pPr>
      <w:rPr>
        <w:rFonts w:hint="default"/>
      </w:rPr>
      <w:start w:val="1"/>
      <w:suff w:val="tab"/>
    </w:lvl>
    <w:lvl w:ilvl="8">
      <w:isLgl w:val="true"/>
      <w:lvlJc w:val="left"/>
      <w:lvlText w:val="%1.%2.%3.%4.%5.%6.%7.%8.%9."/>
      <w:numFmt w:val="decimal"/>
      <w:pPr>
        <w:pBdr/>
        <w:spacing/>
        <w:ind w:hanging="2160" w:left="5400"/>
      </w:pPr>
      <w:rPr>
        <w:rFonts w:hint="default"/>
      </w:rPr>
      <w:start w:val="1"/>
      <w:suff w:val="tab"/>
    </w:lvl>
  </w:abstractNum>
  <w:abstractNum w:abstractNumId="15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6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7">
    <w:lvl w:ilvl="0">
      <w:isLgl w:val="false"/>
      <w:lvlJc w:val="left"/>
      <w:lvlText w:val="%1."/>
      <w:numFmt w:val="upperRoman"/>
      <w:pPr>
        <w:pBdr/>
        <w:spacing/>
        <w:ind w:hanging="720" w:left="1440"/>
      </w:pPr>
      <w:rPr>
        <w:rFonts w:hint="default"/>
      </w:rPr>
      <w:start w:val="1"/>
      <w:suff w:val="tab"/>
    </w:lvl>
    <w:lvl w:ilvl="1">
      <w:isLgl w:val="true"/>
      <w:lvlJc w:val="left"/>
      <w:lvlText w:val="%1.%2."/>
      <w:numFmt w:val="decimal"/>
      <w:pPr>
        <w:pBdr/>
        <w:spacing/>
        <w:ind w:hanging="720" w:left="1440"/>
      </w:pPr>
      <w:rPr>
        <w:rFonts w:hint="default"/>
      </w:rPr>
      <w:start w:val="1"/>
      <w:suff w:val="tab"/>
    </w:lvl>
    <w:lvl w:ilvl="2">
      <w:isLgl w:val="true"/>
      <w:lvlJc w:val="left"/>
      <w:lvlText w:val="%1.%2.%3."/>
      <w:numFmt w:val="decimal"/>
      <w:pPr>
        <w:pBdr/>
        <w:spacing/>
        <w:ind w:hanging="720" w:left="1440"/>
      </w:pPr>
      <w:rPr>
        <w:rFonts w:hint="default"/>
      </w:rPr>
      <w:start w:val="1"/>
      <w:suff w:val="tab"/>
    </w:lvl>
    <w:lvl w:ilvl="3">
      <w:isLgl w:val="true"/>
      <w:lvlJc w:val="left"/>
      <w:lvlText w:val="%1.%2.%3.%4."/>
      <w:numFmt w:val="decimal"/>
      <w:pPr>
        <w:pBdr/>
        <w:spacing/>
        <w:ind w:hanging="1080" w:left="1800"/>
      </w:pPr>
      <w:rPr>
        <w:rFonts w:hint="default"/>
      </w:rPr>
      <w:start w:val="1"/>
      <w:suff w:val="tab"/>
    </w:lvl>
    <w:lvl w:ilvl="4">
      <w:isLgl w:val="true"/>
      <w:lvlJc w:val="left"/>
      <w:lvlText w:val="%1.%2.%3.%4.%5."/>
      <w:numFmt w:val="decimal"/>
      <w:pPr>
        <w:pBdr/>
        <w:spacing/>
        <w:ind w:hanging="1080" w:left="1800"/>
      </w:pPr>
      <w:rPr>
        <w:rFonts w:hint="default"/>
      </w:rPr>
      <w:start w:val="1"/>
      <w:suff w:val="tab"/>
    </w:lvl>
    <w:lvl w:ilvl="5">
      <w:isLgl w:val="true"/>
      <w:lvlJc w:val="left"/>
      <w:lvlText w:val="%1.%2.%3.%4.%5.%6."/>
      <w:numFmt w:val="decimal"/>
      <w:pPr>
        <w:pBdr/>
        <w:spacing/>
        <w:ind w:hanging="1440" w:left="2160"/>
      </w:pPr>
      <w:rPr>
        <w:rFonts w:hint="default"/>
      </w:rPr>
      <w:start w:val="1"/>
      <w:suff w:val="tab"/>
    </w:lvl>
    <w:lvl w:ilvl="6">
      <w:isLgl w:val="true"/>
      <w:lvlJc w:val="left"/>
      <w:lvlText w:val="%1.%2.%3.%4.%5.%6.%7."/>
      <w:numFmt w:val="decimal"/>
      <w:pPr>
        <w:pBdr/>
        <w:spacing/>
        <w:ind w:hanging="1800" w:left="2520"/>
      </w:pPr>
      <w:rPr>
        <w:rFonts w:hint="default"/>
      </w:rPr>
      <w:start w:val="1"/>
      <w:suff w:val="tab"/>
    </w:lvl>
    <w:lvl w:ilvl="7">
      <w:isLgl w:val="true"/>
      <w:lvlJc w:val="left"/>
      <w:lvlText w:val="%1.%2.%3.%4.%5.%6.%7.%8."/>
      <w:numFmt w:val="decimal"/>
      <w:pPr>
        <w:pBdr/>
        <w:spacing/>
        <w:ind w:hanging="1800" w:left="2520"/>
      </w:pPr>
      <w:rPr>
        <w:rFonts w:hint="default"/>
      </w:rPr>
      <w:start w:val="1"/>
      <w:suff w:val="tab"/>
    </w:lvl>
    <w:lvl w:ilvl="8">
      <w:isLgl w:val="true"/>
      <w:lvlJc w:val="left"/>
      <w:lvlText w:val="%1.%2.%3.%4.%5.%6.%7.%8.%9."/>
      <w:numFmt w:val="decimal"/>
      <w:pPr>
        <w:pBdr/>
        <w:spacing/>
        <w:ind w:hanging="2160" w:left="2880"/>
      </w:pPr>
      <w:rPr>
        <w:rFonts w:hint="default"/>
      </w:rPr>
      <w:start w:val="1"/>
      <w:suff w:val="tab"/>
    </w:lvl>
  </w:abstractNum>
  <w:abstractNum w:abstractNumId="18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true"/>
      <w:lvlJc w:val="left"/>
      <w:lvlText w:val="%2."/>
      <w:numFmt w:val="decimal"/>
      <w:pPr>
        <w:pBdr/>
        <w:spacing/>
        <w:ind w:hanging="720" w:left="1430"/>
      </w:pPr>
      <w:rPr>
        <w:rFonts w:ascii="Times New Roman" w:hAnsi="Times New Roman" w:eastAsia="Times New Roman" w:cs="Times New Roman"/>
      </w:rPr>
      <w:start w:val="1"/>
      <w:suff w:val="tab"/>
    </w:lvl>
    <w:lvl w:ilvl="2">
      <w:isLgl w:val="true"/>
      <w:lvlJc w:val="left"/>
      <w:lvlText w:val="%1.%2.%3."/>
      <w:numFmt w:val="decimal"/>
      <w:pPr>
        <w:pBdr/>
        <w:spacing/>
        <w:ind w:hanging="720" w:left="1571"/>
      </w:pPr>
      <w:rPr>
        <w:rFonts w:hint="default"/>
      </w:rPr>
      <w:start w:val="1"/>
      <w:suff w:val="tab"/>
    </w:lvl>
    <w:lvl w:ilvl="3">
      <w:isLgl w:val="true"/>
      <w:lvlJc w:val="left"/>
      <w:lvlText w:val="%1.%2.%3.%4."/>
      <w:numFmt w:val="decimal"/>
      <w:pPr>
        <w:pBdr/>
        <w:spacing/>
        <w:ind w:hanging="1080" w:left="2520"/>
      </w:pPr>
      <w:rPr>
        <w:rFonts w:hint="default"/>
      </w:rPr>
      <w:start w:val="1"/>
      <w:suff w:val="tab"/>
    </w:lvl>
    <w:lvl w:ilvl="4">
      <w:isLgl w:val="true"/>
      <w:lvlJc w:val="left"/>
      <w:lvlText w:val="%1.%2.%3.%4.%5."/>
      <w:numFmt w:val="decimal"/>
      <w:pPr>
        <w:pBdr/>
        <w:spacing/>
        <w:ind w:hanging="1080" w:left="2880"/>
      </w:pPr>
      <w:rPr>
        <w:rFonts w:hint="default"/>
      </w:rPr>
      <w:start w:val="1"/>
      <w:suff w:val="tab"/>
    </w:lvl>
    <w:lvl w:ilvl="5">
      <w:isLgl w:val="true"/>
      <w:lvlJc w:val="left"/>
      <w:lvlText w:val="%1.%2.%3.%4.%5.%6."/>
      <w:numFmt w:val="decimal"/>
      <w:pPr>
        <w:pBdr/>
        <w:spacing/>
        <w:ind w:hanging="1440" w:left="3600"/>
      </w:pPr>
      <w:rPr>
        <w:rFonts w:hint="default"/>
      </w:rPr>
      <w:start w:val="1"/>
      <w:suff w:val="tab"/>
    </w:lvl>
    <w:lvl w:ilvl="6">
      <w:isLgl w:val="true"/>
      <w:lvlJc w:val="left"/>
      <w:lvlText w:val="%1.%2.%3.%4.%5.%6.%7."/>
      <w:numFmt w:val="decimal"/>
      <w:pPr>
        <w:pBdr/>
        <w:spacing/>
        <w:ind w:hanging="1800" w:left="4320"/>
      </w:pPr>
      <w:rPr>
        <w:rFonts w:hint="default"/>
      </w:rPr>
      <w:start w:val="1"/>
      <w:suff w:val="tab"/>
    </w:lvl>
    <w:lvl w:ilvl="7">
      <w:isLgl w:val="true"/>
      <w:lvlJc w:val="left"/>
      <w:lvlText w:val="%1.%2.%3.%4.%5.%6.%7.%8."/>
      <w:numFmt w:val="decimal"/>
      <w:pPr>
        <w:pBdr/>
        <w:spacing/>
        <w:ind w:hanging="1800" w:left="4680"/>
      </w:pPr>
      <w:rPr>
        <w:rFonts w:hint="default"/>
      </w:rPr>
      <w:start w:val="1"/>
      <w:suff w:val="tab"/>
    </w:lvl>
    <w:lvl w:ilvl="8">
      <w:isLgl w:val="true"/>
      <w:lvlJc w:val="left"/>
      <w:lvlText w:val="%1.%2.%3.%4.%5.%6.%7.%8.%9."/>
      <w:numFmt w:val="decimal"/>
      <w:pPr>
        <w:pBdr/>
        <w:spacing/>
        <w:ind w:hanging="2160" w:left="5400"/>
      </w:pPr>
      <w:rPr>
        <w:rFonts w:hint="default"/>
      </w:rPr>
      <w:start w:val="1"/>
      <w:suff w:val="tab"/>
    </w:lvl>
  </w:abstractNum>
  <w:abstractNum w:abstractNumId="19">
    <w:lvl w:ilvl="0">
      <w:isLgl w:val="false"/>
      <w:lvlJc w:val="left"/>
      <w:lvlText w:val="%1."/>
      <w:numFmt w:val="decimal"/>
      <w:pPr>
        <w:pBdr/>
        <w:spacing/>
        <w:ind w:hanging="675" w:left="675"/>
      </w:pPr>
      <w:rPr>
        <w:rFonts w:hint="default"/>
      </w:rPr>
      <w:start w:val="5"/>
      <w:suff w:val="tab"/>
    </w:lvl>
    <w:lvl w:ilvl="1">
      <w:isLgl w:val="false"/>
      <w:lvlJc w:val="left"/>
      <w:lvlText w:val="%1.%2."/>
      <w:numFmt w:val="decimal"/>
      <w:pPr>
        <w:pBdr/>
        <w:spacing/>
        <w:ind w:hanging="720" w:left="1145"/>
      </w:pPr>
      <w:rPr>
        <w:rFonts w:hint="default"/>
      </w:rPr>
      <w:start w:val="8"/>
      <w:suff w:val="tab"/>
    </w:lvl>
    <w:lvl w:ilvl="2">
      <w:isLgl w:val="false"/>
      <w:lvlJc w:val="left"/>
      <w:lvlText w:val="%1.%2.%3."/>
      <w:numFmt w:val="decimal"/>
      <w:pPr>
        <w:pBdr/>
        <w:spacing/>
        <w:ind w:hanging="720" w:left="1570"/>
      </w:pPr>
      <w:rPr>
        <w:rFonts w:hint="default"/>
      </w:rPr>
      <w:start w:val="3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1080" w:left="2355"/>
      </w:pPr>
      <w:rPr>
        <w:rFonts w:hint="default"/>
      </w:rPr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1080" w:left="2780"/>
      </w:pPr>
      <w:rPr>
        <w:rFonts w:hint="default"/>
      </w:rPr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1440" w:left="3565"/>
      </w:pPr>
      <w:rPr>
        <w:rFonts w:hint="default"/>
      </w:rPr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800" w:left="4350"/>
      </w:pPr>
      <w:rPr>
        <w:rFonts w:hint="default"/>
      </w:rPr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800" w:left="4775"/>
      </w:pPr>
      <w:rPr>
        <w:rFonts w:hint="default"/>
      </w:rPr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2160" w:left="5560"/>
      </w:pPr>
      <w:rPr>
        <w:rFonts w:hint="default"/>
      </w:rPr>
      <w:start w:val="1"/>
      <w:suff w:val="tab"/>
    </w:lvl>
  </w:abstractNum>
  <w:abstractNum w:abstractNumId="20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1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true"/>
      <w:lvlJc w:val="left"/>
      <w:lvlText w:val="%1.%2."/>
      <w:numFmt w:val="decimal"/>
      <w:pPr>
        <w:pBdr/>
        <w:spacing/>
        <w:ind w:hanging="720" w:left="1571"/>
      </w:pPr>
      <w:rPr>
        <w:rFonts w:hint="default"/>
      </w:rPr>
      <w:start w:val="1"/>
      <w:suff w:val="tab"/>
    </w:lvl>
    <w:lvl w:ilvl="2">
      <w:isLgl w:val="true"/>
      <w:lvlJc w:val="left"/>
      <w:lvlText w:val="%1.%2.%3."/>
      <w:numFmt w:val="decimal"/>
      <w:pPr>
        <w:pBdr/>
        <w:spacing/>
        <w:ind w:hanging="720" w:left="1571"/>
      </w:pPr>
      <w:rPr>
        <w:rFonts w:hint="default"/>
      </w:rPr>
      <w:start w:val="1"/>
      <w:suff w:val="tab"/>
    </w:lvl>
    <w:lvl w:ilvl="3">
      <w:isLgl w:val="true"/>
      <w:lvlJc w:val="left"/>
      <w:lvlText w:val="%1.%2.%3.%4."/>
      <w:numFmt w:val="decimal"/>
      <w:pPr>
        <w:pBdr/>
        <w:spacing/>
        <w:ind w:hanging="1080" w:left="2520"/>
      </w:pPr>
      <w:rPr>
        <w:rFonts w:hint="default"/>
      </w:rPr>
      <w:start w:val="1"/>
      <w:suff w:val="tab"/>
    </w:lvl>
    <w:lvl w:ilvl="4">
      <w:isLgl w:val="true"/>
      <w:lvlJc w:val="left"/>
      <w:lvlText w:val="%1.%2.%3.%4.%5."/>
      <w:numFmt w:val="decimal"/>
      <w:pPr>
        <w:pBdr/>
        <w:spacing/>
        <w:ind w:hanging="1080" w:left="2880"/>
      </w:pPr>
      <w:rPr>
        <w:rFonts w:hint="default"/>
      </w:rPr>
      <w:start w:val="1"/>
      <w:suff w:val="tab"/>
    </w:lvl>
    <w:lvl w:ilvl="5">
      <w:isLgl w:val="true"/>
      <w:lvlJc w:val="left"/>
      <w:lvlText w:val="%1.%2.%3.%4.%5.%6."/>
      <w:numFmt w:val="decimal"/>
      <w:pPr>
        <w:pBdr/>
        <w:spacing/>
        <w:ind w:hanging="1440" w:left="3600"/>
      </w:pPr>
      <w:rPr>
        <w:rFonts w:hint="default"/>
      </w:rPr>
      <w:start w:val="1"/>
      <w:suff w:val="tab"/>
    </w:lvl>
    <w:lvl w:ilvl="6">
      <w:isLgl w:val="true"/>
      <w:lvlJc w:val="left"/>
      <w:lvlText w:val="%1.%2.%3.%4.%5.%6.%7."/>
      <w:numFmt w:val="decimal"/>
      <w:pPr>
        <w:pBdr/>
        <w:spacing/>
        <w:ind w:hanging="1800" w:left="4320"/>
      </w:pPr>
      <w:rPr>
        <w:rFonts w:hint="default"/>
      </w:rPr>
      <w:start w:val="1"/>
      <w:suff w:val="tab"/>
    </w:lvl>
    <w:lvl w:ilvl="7">
      <w:isLgl w:val="true"/>
      <w:lvlJc w:val="left"/>
      <w:lvlText w:val="%1.%2.%3.%4.%5.%6.%7.%8."/>
      <w:numFmt w:val="decimal"/>
      <w:pPr>
        <w:pBdr/>
        <w:spacing/>
        <w:ind w:hanging="1800" w:left="4680"/>
      </w:pPr>
      <w:rPr>
        <w:rFonts w:hint="default"/>
      </w:rPr>
      <w:start w:val="1"/>
      <w:suff w:val="tab"/>
    </w:lvl>
    <w:lvl w:ilvl="8">
      <w:isLgl w:val="true"/>
      <w:lvlJc w:val="left"/>
      <w:lvlText w:val="%1.%2.%3.%4.%5.%6.%7.%8.%9."/>
      <w:numFmt w:val="decimal"/>
      <w:pPr>
        <w:pBdr/>
        <w:spacing/>
        <w:ind w:hanging="2160" w:left="5400"/>
      </w:pPr>
      <w:rPr>
        <w:rFonts w:hint="default"/>
      </w:rPr>
      <w:start w:val="1"/>
      <w:suff w:val="tab"/>
    </w:lvl>
  </w:abstractNum>
  <w:abstractNum w:abstractNumId="22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3">
    <w:lvl w:ilvl="0">
      <w:isLgl w:val="false"/>
      <w:lvlJc w:val="left"/>
      <w:lvlText w:val="%1."/>
      <w:numFmt w:val="decimal"/>
      <w:pPr>
        <w:pBdr/>
        <w:spacing/>
        <w:ind w:hanging="450" w:left="1301"/>
      </w:pPr>
      <w:rPr>
        <w:rFonts w:hint="default"/>
      </w:rPr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720" w:left="1571"/>
      </w:pPr>
      <w:rPr>
        <w:rFonts w:hint="default"/>
      </w:rPr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720" w:left="2422"/>
      </w:pPr>
      <w:rPr>
        <w:rFonts w:hint="default"/>
      </w:rPr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1080" w:left="3633"/>
      </w:pPr>
      <w:rPr>
        <w:rFonts w:hint="default"/>
      </w:rPr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1080" w:left="4484"/>
      </w:pPr>
      <w:rPr>
        <w:rFonts w:hint="default"/>
      </w:rPr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1440" w:left="5695"/>
      </w:pPr>
      <w:rPr>
        <w:rFonts w:hint="default"/>
      </w:rPr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800" w:left="6906"/>
      </w:pPr>
      <w:rPr>
        <w:rFonts w:hint="default"/>
      </w:rPr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800" w:left="7757"/>
      </w:pPr>
      <w:rPr>
        <w:rFonts w:hint="default"/>
      </w:rPr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2160" w:left="8968"/>
      </w:pPr>
      <w:rPr>
        <w:rFonts w:hint="default"/>
      </w:rPr>
      <w:start w:val="1"/>
      <w:suff w:val="tab"/>
    </w:lvl>
  </w:abstractNum>
  <w:abstractNum w:abstractNumId="24">
    <w:lvl w:ilvl="0">
      <w:isLgl w:val="false"/>
      <w:lvlJc w:val="left"/>
      <w:lvlText w:val="%1."/>
      <w:numFmt w:val="decimal"/>
      <w:pPr>
        <w:pBdr/>
        <w:spacing/>
        <w:ind w:hanging="432" w:left="432"/>
      </w:pPr>
      <w:rPr>
        <w:rFonts w:hint="default"/>
      </w:rPr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720" w:left="1429"/>
      </w:pPr>
      <w:rPr>
        <w:rFonts w:hint="default"/>
      </w:rPr>
      <w:start w:val="5"/>
      <w:suff w:val="tab"/>
    </w:lvl>
    <w:lvl w:ilvl="2">
      <w:isLgl w:val="false"/>
      <w:lvlJc w:val="left"/>
      <w:lvlText w:val="%1.%2.%3."/>
      <w:numFmt w:val="decimal"/>
      <w:pPr>
        <w:pBdr/>
        <w:spacing/>
        <w:ind w:hanging="720" w:left="2138"/>
      </w:pPr>
      <w:rPr>
        <w:rFonts w:hint="default"/>
      </w:rPr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1080" w:left="3207"/>
      </w:pPr>
      <w:rPr>
        <w:rFonts w:hint="default"/>
      </w:rPr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1080" w:left="3916"/>
      </w:pPr>
      <w:rPr>
        <w:rFonts w:hint="default"/>
      </w:rPr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1440" w:left="4985"/>
      </w:pPr>
      <w:rPr>
        <w:rFonts w:hint="default"/>
      </w:rPr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800" w:left="6054"/>
      </w:pPr>
      <w:rPr>
        <w:rFonts w:hint="default"/>
      </w:rPr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800" w:left="6763"/>
      </w:pPr>
      <w:rPr>
        <w:rFonts w:hint="default"/>
      </w:rPr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2160" w:left="7832"/>
      </w:pPr>
      <w:rPr>
        <w:rFonts w:hint="default"/>
      </w:rPr>
      <w:start w:val="1"/>
      <w:suff w:val="tab"/>
    </w:lvl>
  </w:abstractNum>
  <w:abstractNum w:abstractNumId="25">
    <w:lvl w:ilvl="0">
      <w:isLgl w:val="false"/>
      <w:lvlJc w:val="left"/>
      <w:lvlText w:val="%1."/>
      <w:numFmt w:val="decimal"/>
      <w:pPr>
        <w:pBdr/>
        <w:spacing/>
        <w:ind w:hanging="360" w:left="1069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8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0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2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4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6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8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0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29"/>
      </w:pPr>
      <w:rPr/>
      <w:start w:val="1"/>
      <w:suff w:val="tab"/>
    </w:lvl>
  </w:abstractNum>
  <w:abstractNum w:abstractNumId="26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7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8">
    <w:lvl w:ilvl="0">
      <w:isLgl w:val="false"/>
      <w:lvlJc w:val="left"/>
      <w:lvlText w:val="%1."/>
      <w:numFmt w:val="decimal"/>
      <w:pPr>
        <w:pBdr/>
        <w:spacing/>
        <w:ind w:hanging="360" w:left="1211"/>
      </w:pPr>
      <w:rPr>
        <w:rFonts w:hint="default"/>
      </w:rPr>
      <w:start w:val="1"/>
      <w:suff w:val="tab"/>
    </w:lvl>
    <w:lvl w:ilvl="1">
      <w:isLgl w:val="true"/>
      <w:lvlJc w:val="left"/>
      <w:lvlText w:val="%1.%2."/>
      <w:numFmt w:val="decimal"/>
      <w:pPr>
        <w:pBdr/>
        <w:spacing/>
        <w:ind w:hanging="720" w:left="1571"/>
      </w:pPr>
      <w:rPr>
        <w:rFonts w:hint="default"/>
      </w:rPr>
      <w:start w:val="1"/>
      <w:suff w:val="tab"/>
    </w:lvl>
    <w:lvl w:ilvl="2">
      <w:isLgl w:val="true"/>
      <w:lvlJc w:val="left"/>
      <w:lvlText w:val="%1.%2.%3."/>
      <w:numFmt w:val="decimal"/>
      <w:pPr>
        <w:pBdr/>
        <w:spacing/>
        <w:ind w:hanging="720" w:left="1571"/>
      </w:pPr>
      <w:rPr>
        <w:rFonts w:hint="default"/>
      </w:rPr>
      <w:start w:val="1"/>
      <w:suff w:val="tab"/>
    </w:lvl>
    <w:lvl w:ilvl="3">
      <w:isLgl w:val="true"/>
      <w:lvlJc w:val="left"/>
      <w:lvlText w:val="%1.%2.%3.%4."/>
      <w:numFmt w:val="decimal"/>
      <w:pPr>
        <w:pBdr/>
        <w:spacing/>
        <w:ind w:hanging="1080" w:left="1931"/>
      </w:pPr>
      <w:rPr>
        <w:rFonts w:hint="default"/>
      </w:rPr>
      <w:start w:val="1"/>
      <w:suff w:val="tab"/>
    </w:lvl>
    <w:lvl w:ilvl="4">
      <w:isLgl w:val="true"/>
      <w:lvlJc w:val="left"/>
      <w:lvlText w:val="%1.%2.%3.%4.%5."/>
      <w:numFmt w:val="decimal"/>
      <w:pPr>
        <w:pBdr/>
        <w:spacing/>
        <w:ind w:hanging="1080" w:left="1931"/>
      </w:pPr>
      <w:rPr>
        <w:rFonts w:hint="default"/>
      </w:rPr>
      <w:start w:val="1"/>
      <w:suff w:val="tab"/>
    </w:lvl>
    <w:lvl w:ilvl="5">
      <w:isLgl w:val="true"/>
      <w:lvlJc w:val="left"/>
      <w:lvlText w:val="%1.%2.%3.%4.%5.%6."/>
      <w:numFmt w:val="decimal"/>
      <w:pPr>
        <w:pBdr/>
        <w:spacing/>
        <w:ind w:hanging="1440" w:left="2291"/>
      </w:pPr>
      <w:rPr>
        <w:rFonts w:hint="default"/>
      </w:rPr>
      <w:start w:val="1"/>
      <w:suff w:val="tab"/>
    </w:lvl>
    <w:lvl w:ilvl="6">
      <w:isLgl w:val="true"/>
      <w:lvlJc w:val="left"/>
      <w:lvlText w:val="%1.%2.%3.%4.%5.%6.%7."/>
      <w:numFmt w:val="decimal"/>
      <w:pPr>
        <w:pBdr/>
        <w:spacing/>
        <w:ind w:hanging="1800" w:left="2651"/>
      </w:pPr>
      <w:rPr>
        <w:rFonts w:hint="default"/>
      </w:rPr>
      <w:start w:val="1"/>
      <w:suff w:val="tab"/>
    </w:lvl>
    <w:lvl w:ilvl="7">
      <w:isLgl w:val="true"/>
      <w:lvlJc w:val="left"/>
      <w:lvlText w:val="%1.%2.%3.%4.%5.%6.%7.%8."/>
      <w:numFmt w:val="decimal"/>
      <w:pPr>
        <w:pBdr/>
        <w:spacing/>
        <w:ind w:hanging="1800" w:left="2651"/>
      </w:pPr>
      <w:rPr>
        <w:rFonts w:hint="default"/>
      </w:rPr>
      <w:start w:val="1"/>
      <w:suff w:val="tab"/>
    </w:lvl>
    <w:lvl w:ilvl="8">
      <w:isLgl w:val="true"/>
      <w:lvlJc w:val="left"/>
      <w:lvlText w:val="%1.%2.%3.%4.%5.%6.%7.%8.%9."/>
      <w:numFmt w:val="decimal"/>
      <w:pPr>
        <w:pBdr/>
        <w:spacing/>
        <w:ind w:hanging="2160" w:left="3011"/>
      </w:pPr>
      <w:rPr>
        <w:rFonts w:hint="default"/>
      </w:rPr>
      <w:start w:val="1"/>
      <w:suff w:val="tab"/>
    </w:lvl>
  </w:abstractNum>
  <w:abstractNum w:abstractNumId="29">
    <w:lvl w:ilvl="0">
      <w:isLgl w:val="false"/>
      <w:lvlJc w:val="left"/>
      <w:lvlText w:val="%1."/>
      <w:numFmt w:val="decimal"/>
      <w:pPr>
        <w:pBdr/>
        <w:spacing/>
        <w:ind w:hanging="360" w:left="1211"/>
      </w:pPr>
      <w:rPr>
        <w:rFonts w:hint="default"/>
      </w:rPr>
      <w:start w:val="1"/>
      <w:suff w:val="tab"/>
    </w:lvl>
    <w:lvl w:ilvl="1">
      <w:isLgl w:val="true"/>
      <w:lvlJc w:val="left"/>
      <w:lvlText w:val="%1.%2."/>
      <w:numFmt w:val="decimal"/>
      <w:pPr>
        <w:pBdr/>
        <w:spacing/>
        <w:ind w:hanging="720" w:left="1571"/>
      </w:pPr>
      <w:rPr>
        <w:rFonts w:hint="default"/>
      </w:rPr>
      <w:start w:val="6"/>
      <w:suff w:val="tab"/>
    </w:lvl>
    <w:lvl w:ilvl="2">
      <w:isLgl w:val="true"/>
      <w:lvlJc w:val="left"/>
      <w:lvlText w:val="%1.%2.%3."/>
      <w:numFmt w:val="decimal"/>
      <w:pPr>
        <w:pBdr/>
        <w:spacing/>
        <w:ind w:hanging="720" w:left="1571"/>
      </w:pPr>
      <w:rPr>
        <w:rFonts w:hint="default"/>
      </w:rPr>
      <w:start w:val="1"/>
      <w:suff w:val="tab"/>
    </w:lvl>
    <w:lvl w:ilvl="3">
      <w:isLgl w:val="true"/>
      <w:lvlJc w:val="left"/>
      <w:lvlText w:val="%1.%2.%3.%4."/>
      <w:numFmt w:val="decimal"/>
      <w:pPr>
        <w:pBdr/>
        <w:spacing/>
        <w:ind w:hanging="1080" w:left="1931"/>
      </w:pPr>
      <w:rPr>
        <w:rFonts w:hint="default"/>
      </w:rPr>
      <w:start w:val="1"/>
      <w:suff w:val="tab"/>
    </w:lvl>
    <w:lvl w:ilvl="4">
      <w:isLgl w:val="true"/>
      <w:lvlJc w:val="left"/>
      <w:lvlText w:val="%1.%2.%3.%4.%5."/>
      <w:numFmt w:val="decimal"/>
      <w:pPr>
        <w:pBdr/>
        <w:spacing/>
        <w:ind w:hanging="1080" w:left="1931"/>
      </w:pPr>
      <w:rPr>
        <w:rFonts w:hint="default"/>
      </w:rPr>
      <w:start w:val="1"/>
      <w:suff w:val="tab"/>
    </w:lvl>
    <w:lvl w:ilvl="5">
      <w:isLgl w:val="true"/>
      <w:lvlJc w:val="left"/>
      <w:lvlText w:val="%1.%2.%3.%4.%5.%6."/>
      <w:numFmt w:val="decimal"/>
      <w:pPr>
        <w:pBdr/>
        <w:spacing/>
        <w:ind w:hanging="1440" w:left="2291"/>
      </w:pPr>
      <w:rPr>
        <w:rFonts w:hint="default"/>
      </w:rPr>
      <w:start w:val="1"/>
      <w:suff w:val="tab"/>
    </w:lvl>
    <w:lvl w:ilvl="6">
      <w:isLgl w:val="true"/>
      <w:lvlJc w:val="left"/>
      <w:lvlText w:val="%1.%2.%3.%4.%5.%6.%7."/>
      <w:numFmt w:val="decimal"/>
      <w:pPr>
        <w:pBdr/>
        <w:spacing/>
        <w:ind w:hanging="1800" w:left="2651"/>
      </w:pPr>
      <w:rPr>
        <w:rFonts w:hint="default"/>
      </w:rPr>
      <w:start w:val="1"/>
      <w:suff w:val="tab"/>
    </w:lvl>
    <w:lvl w:ilvl="7">
      <w:isLgl w:val="true"/>
      <w:lvlJc w:val="left"/>
      <w:lvlText w:val="%1.%2.%3.%4.%5.%6.%7.%8."/>
      <w:numFmt w:val="decimal"/>
      <w:pPr>
        <w:pBdr/>
        <w:spacing/>
        <w:ind w:hanging="1800" w:left="2651"/>
      </w:pPr>
      <w:rPr>
        <w:rFonts w:hint="default"/>
      </w:rPr>
      <w:start w:val="1"/>
      <w:suff w:val="tab"/>
    </w:lvl>
    <w:lvl w:ilvl="8">
      <w:isLgl w:val="true"/>
      <w:lvlJc w:val="left"/>
      <w:lvlText w:val="%1.%2.%3.%4.%5.%6.%7.%8.%9."/>
      <w:numFmt w:val="decimal"/>
      <w:pPr>
        <w:pBdr/>
        <w:spacing/>
        <w:ind w:hanging="2160" w:left="3011"/>
      </w:pPr>
      <w:rPr>
        <w:rFonts w:hint="default"/>
      </w:rPr>
      <w:start w:val="1"/>
      <w:suff w:val="tab"/>
    </w:lvl>
  </w:abstractNum>
  <w:abstractNum w:abstractNumId="30">
    <w:lvl w:ilvl="0">
      <w:isLgl w:val="false"/>
      <w:lvlJc w:val="left"/>
      <w:lvlText w:val="%1)"/>
      <w:numFmt w:val="decimal"/>
      <w:pPr>
        <w:pBdr/>
        <w:spacing/>
        <w:ind w:hanging="360" w:left="1495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8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0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2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4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6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8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0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29"/>
      </w:pPr>
      <w:rPr/>
      <w:start w:val="1"/>
      <w:suff w:val="tab"/>
    </w:lvl>
  </w:abstractNum>
  <w:abstractNum w:abstractNumId="31">
    <w:lvl w:ilvl="0">
      <w:isLgl w:val="false"/>
      <w:lvlJc w:val="left"/>
      <w:lvlText w:val="%1."/>
      <w:numFmt w:val="decimal"/>
      <w:pPr>
        <w:pBdr/>
        <w:spacing/>
        <w:ind w:hanging="360" w:left="108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80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2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4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6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8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40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2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40"/>
      </w:pPr>
      <w:rPr/>
      <w:start w:val="1"/>
      <w:suff w:val="tab"/>
    </w:lvl>
  </w:abstractNum>
  <w:abstractNum w:abstractNumId="32">
    <w:lvl w:ilvl="0">
      <w:isLgl w:val="false"/>
      <w:lvlJc w:val="left"/>
      <w:lvlText w:val="%1."/>
      <w:numFmt w:val="decimal"/>
      <w:pPr>
        <w:pBdr/>
        <w:spacing/>
        <w:ind w:hanging="810" w:left="810"/>
      </w:pPr>
      <w:rPr>
        <w:rFonts w:hint="default"/>
      </w:rPr>
      <w:start w:val="5"/>
      <w:suff w:val="tab"/>
    </w:lvl>
    <w:lvl w:ilvl="1">
      <w:isLgl w:val="false"/>
      <w:lvlJc w:val="left"/>
      <w:lvlText w:val="%1.%2."/>
      <w:numFmt w:val="decimal"/>
      <w:pPr>
        <w:pBdr/>
        <w:spacing/>
        <w:ind w:hanging="810" w:left="1306"/>
      </w:pPr>
      <w:rPr>
        <w:rFonts w:hint="default"/>
      </w:rPr>
      <w:start w:val="1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810" w:left="1520"/>
      </w:pPr>
      <w:rPr>
        <w:rFonts w:hint="default"/>
      </w:rPr>
      <w:start w:val="8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1080" w:left="2568"/>
      </w:pPr>
      <w:rPr>
        <w:rFonts w:hint="default"/>
      </w:rPr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1080" w:left="3064"/>
      </w:pPr>
      <w:rPr>
        <w:rFonts w:hint="default"/>
      </w:rPr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1440" w:left="3920"/>
      </w:pPr>
      <w:rPr>
        <w:rFonts w:hint="default"/>
      </w:rPr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800" w:left="4776"/>
      </w:pPr>
      <w:rPr>
        <w:rFonts w:hint="default"/>
      </w:rPr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800" w:left="5272"/>
      </w:pPr>
      <w:rPr>
        <w:rFonts w:hint="default"/>
      </w:rPr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2160" w:left="6128"/>
      </w:pPr>
      <w:rPr>
        <w:rFonts w:hint="default"/>
      </w:rPr>
      <w:start w:val="1"/>
      <w:suff w:val="tab"/>
    </w:lvl>
  </w:abstractNum>
  <w:abstractNum w:abstractNumId="33">
    <w:lvl w:ilvl="0">
      <w:isLgl w:val="false"/>
      <w:lvlJc w:val="left"/>
      <w:lvlText w:val="%1."/>
      <w:numFmt w:val="decimal"/>
      <w:pPr>
        <w:pBdr/>
        <w:spacing/>
        <w:ind w:hanging="450" w:left="450"/>
      </w:pPr>
      <w:rPr>
        <w:rFonts w:hint="default"/>
      </w:rPr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720" w:left="1571"/>
      </w:pPr>
      <w:rPr>
        <w:rFonts w:hint="default"/>
      </w:rPr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720" w:left="2422"/>
      </w:pPr>
      <w:rPr>
        <w:rFonts w:hint="default"/>
      </w:rPr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1080" w:left="3633"/>
      </w:pPr>
      <w:rPr>
        <w:rFonts w:hint="default"/>
      </w:rPr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1080" w:left="4484"/>
      </w:pPr>
      <w:rPr>
        <w:rFonts w:hint="default"/>
      </w:rPr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1440" w:left="5695"/>
      </w:pPr>
      <w:rPr>
        <w:rFonts w:hint="default"/>
      </w:rPr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800" w:left="6906"/>
      </w:pPr>
      <w:rPr>
        <w:rFonts w:hint="default"/>
      </w:rPr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800" w:left="7757"/>
      </w:pPr>
      <w:rPr>
        <w:rFonts w:hint="default"/>
      </w:rPr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2160" w:left="8968"/>
      </w:pPr>
      <w:rPr>
        <w:rFonts w:hint="default"/>
      </w:rPr>
      <w:start w:val="1"/>
      <w:suff w:val="tab"/>
    </w:lvl>
  </w:abstractNum>
  <w:abstractNum w:abstractNumId="34">
    <w:lvl w:ilvl="0">
      <w:isLgl w:val="false"/>
      <w:lvlJc w:val="left"/>
      <w:lvlText w:val="%1."/>
      <w:numFmt w:val="decimal"/>
      <w:pPr>
        <w:pBdr/>
        <w:spacing/>
        <w:ind w:hanging="360" w:left="1211"/>
      </w:pPr>
      <w:rPr>
        <w:rFonts w:hint="default"/>
      </w:rPr>
      <w:start w:val="1"/>
      <w:suff w:val="tab"/>
    </w:lvl>
    <w:lvl w:ilvl="1">
      <w:isLgl w:val="true"/>
      <w:lvlJc w:val="left"/>
      <w:lvlText w:val="%1.%2."/>
      <w:numFmt w:val="decimal"/>
      <w:pPr>
        <w:pBdr/>
        <w:spacing/>
        <w:ind w:hanging="720" w:left="1571"/>
      </w:pPr>
      <w:rPr>
        <w:rFonts w:hint="default"/>
      </w:rPr>
      <w:start w:val="6"/>
      <w:suff w:val="tab"/>
    </w:lvl>
    <w:lvl w:ilvl="2">
      <w:isLgl w:val="true"/>
      <w:lvlJc w:val="left"/>
      <w:lvlText w:val="%1.%2.%3."/>
      <w:numFmt w:val="decimal"/>
      <w:pPr>
        <w:pBdr/>
        <w:spacing/>
        <w:ind w:hanging="720" w:left="1571"/>
      </w:pPr>
      <w:rPr>
        <w:rFonts w:hint="default"/>
      </w:rPr>
      <w:start w:val="1"/>
      <w:suff w:val="tab"/>
    </w:lvl>
    <w:lvl w:ilvl="3">
      <w:isLgl w:val="true"/>
      <w:lvlJc w:val="left"/>
      <w:lvlText w:val="%1.%2.%3.%4."/>
      <w:numFmt w:val="decimal"/>
      <w:pPr>
        <w:pBdr/>
        <w:spacing/>
        <w:ind w:hanging="1080" w:left="1931"/>
      </w:pPr>
      <w:rPr>
        <w:rFonts w:hint="default"/>
      </w:rPr>
      <w:start w:val="1"/>
      <w:suff w:val="tab"/>
    </w:lvl>
    <w:lvl w:ilvl="4">
      <w:isLgl w:val="true"/>
      <w:lvlJc w:val="left"/>
      <w:lvlText w:val="%1.%2.%3.%4.%5."/>
      <w:numFmt w:val="decimal"/>
      <w:pPr>
        <w:pBdr/>
        <w:spacing/>
        <w:ind w:hanging="1080" w:left="1931"/>
      </w:pPr>
      <w:rPr>
        <w:rFonts w:hint="default"/>
      </w:rPr>
      <w:start w:val="1"/>
      <w:suff w:val="tab"/>
    </w:lvl>
    <w:lvl w:ilvl="5">
      <w:isLgl w:val="true"/>
      <w:lvlJc w:val="left"/>
      <w:lvlText w:val="%1.%2.%3.%4.%5.%6."/>
      <w:numFmt w:val="decimal"/>
      <w:pPr>
        <w:pBdr/>
        <w:spacing/>
        <w:ind w:hanging="1440" w:left="2291"/>
      </w:pPr>
      <w:rPr>
        <w:rFonts w:hint="default"/>
      </w:rPr>
      <w:start w:val="1"/>
      <w:suff w:val="tab"/>
    </w:lvl>
    <w:lvl w:ilvl="6">
      <w:isLgl w:val="true"/>
      <w:lvlJc w:val="left"/>
      <w:lvlText w:val="%1.%2.%3.%4.%5.%6.%7."/>
      <w:numFmt w:val="decimal"/>
      <w:pPr>
        <w:pBdr/>
        <w:spacing/>
        <w:ind w:hanging="1800" w:left="2651"/>
      </w:pPr>
      <w:rPr>
        <w:rFonts w:hint="default"/>
      </w:rPr>
      <w:start w:val="1"/>
      <w:suff w:val="tab"/>
    </w:lvl>
    <w:lvl w:ilvl="7">
      <w:isLgl w:val="true"/>
      <w:lvlJc w:val="left"/>
      <w:lvlText w:val="%1.%2.%3.%4.%5.%6.%7.%8."/>
      <w:numFmt w:val="decimal"/>
      <w:pPr>
        <w:pBdr/>
        <w:spacing/>
        <w:ind w:hanging="1800" w:left="2651"/>
      </w:pPr>
      <w:rPr>
        <w:rFonts w:hint="default"/>
      </w:rPr>
      <w:start w:val="1"/>
      <w:suff w:val="tab"/>
    </w:lvl>
    <w:lvl w:ilvl="8">
      <w:isLgl w:val="true"/>
      <w:lvlJc w:val="left"/>
      <w:lvlText w:val="%1.%2.%3.%4.%5.%6.%7.%8.%9."/>
      <w:numFmt w:val="decimal"/>
      <w:pPr>
        <w:pBdr/>
        <w:spacing/>
        <w:ind w:hanging="2160" w:left="3011"/>
      </w:pPr>
      <w:rPr>
        <w:rFonts w:hint="default"/>
      </w:rPr>
      <w:start w:val="1"/>
      <w:suff w:val="tab"/>
    </w:lvl>
  </w:abstractNum>
  <w:abstractNum w:abstractNumId="35">
    <w:lvl w:ilvl="0">
      <w:isLgl w:val="false"/>
      <w:lvlJc w:val="left"/>
      <w:lvlText w:val="%1."/>
      <w:numFmt w:val="decimal"/>
      <w:pPr>
        <w:pBdr/>
        <w:spacing/>
        <w:ind w:hanging="360" w:left="1211"/>
      </w:pPr>
      <w:rPr>
        <w:rFonts w:hint="default"/>
      </w:rPr>
      <w:start w:val="1"/>
      <w:suff w:val="tab"/>
    </w:lvl>
    <w:lvl w:ilvl="1">
      <w:isLgl w:val="true"/>
      <w:lvlJc w:val="left"/>
      <w:lvlText w:val="%1.%2."/>
      <w:numFmt w:val="decimal"/>
      <w:pPr>
        <w:pBdr/>
        <w:spacing/>
        <w:ind w:hanging="720" w:left="1571"/>
      </w:pPr>
      <w:rPr>
        <w:rFonts w:hint="default"/>
      </w:rPr>
      <w:start w:val="6"/>
      <w:suff w:val="tab"/>
    </w:lvl>
    <w:lvl w:ilvl="2">
      <w:isLgl w:val="true"/>
      <w:lvlJc w:val="left"/>
      <w:lvlText w:val="%1.%2.%3."/>
      <w:numFmt w:val="decimal"/>
      <w:pPr>
        <w:pBdr/>
        <w:spacing/>
        <w:ind w:hanging="720" w:left="1571"/>
      </w:pPr>
      <w:rPr>
        <w:rFonts w:hint="default"/>
      </w:rPr>
      <w:start w:val="1"/>
      <w:suff w:val="tab"/>
    </w:lvl>
    <w:lvl w:ilvl="3">
      <w:isLgl w:val="true"/>
      <w:lvlJc w:val="left"/>
      <w:lvlText w:val="%1.%2.%3.%4."/>
      <w:numFmt w:val="decimal"/>
      <w:pPr>
        <w:pBdr/>
        <w:spacing/>
        <w:ind w:hanging="1080" w:left="1931"/>
      </w:pPr>
      <w:rPr>
        <w:rFonts w:hint="default"/>
      </w:rPr>
      <w:start w:val="1"/>
      <w:suff w:val="tab"/>
    </w:lvl>
    <w:lvl w:ilvl="4">
      <w:isLgl w:val="true"/>
      <w:lvlJc w:val="left"/>
      <w:lvlText w:val="%1.%2.%3.%4.%5."/>
      <w:numFmt w:val="decimal"/>
      <w:pPr>
        <w:pBdr/>
        <w:spacing/>
        <w:ind w:hanging="1080" w:left="1931"/>
      </w:pPr>
      <w:rPr>
        <w:rFonts w:hint="default"/>
      </w:rPr>
      <w:start w:val="1"/>
      <w:suff w:val="tab"/>
    </w:lvl>
    <w:lvl w:ilvl="5">
      <w:isLgl w:val="true"/>
      <w:lvlJc w:val="left"/>
      <w:lvlText w:val="%1.%2.%3.%4.%5.%6."/>
      <w:numFmt w:val="decimal"/>
      <w:pPr>
        <w:pBdr/>
        <w:spacing/>
        <w:ind w:hanging="1440" w:left="2291"/>
      </w:pPr>
      <w:rPr>
        <w:rFonts w:hint="default"/>
      </w:rPr>
      <w:start w:val="1"/>
      <w:suff w:val="tab"/>
    </w:lvl>
    <w:lvl w:ilvl="6">
      <w:isLgl w:val="true"/>
      <w:lvlJc w:val="left"/>
      <w:lvlText w:val="%1.%2.%3.%4.%5.%6.%7."/>
      <w:numFmt w:val="decimal"/>
      <w:pPr>
        <w:pBdr/>
        <w:spacing/>
        <w:ind w:hanging="1800" w:left="2651"/>
      </w:pPr>
      <w:rPr>
        <w:rFonts w:hint="default"/>
      </w:rPr>
      <w:start w:val="1"/>
      <w:suff w:val="tab"/>
    </w:lvl>
    <w:lvl w:ilvl="7">
      <w:isLgl w:val="true"/>
      <w:lvlJc w:val="left"/>
      <w:lvlText w:val="%1.%2.%3.%4.%5.%6.%7.%8."/>
      <w:numFmt w:val="decimal"/>
      <w:pPr>
        <w:pBdr/>
        <w:spacing/>
        <w:ind w:hanging="1800" w:left="2651"/>
      </w:pPr>
      <w:rPr>
        <w:rFonts w:hint="default"/>
      </w:rPr>
      <w:start w:val="1"/>
      <w:suff w:val="tab"/>
    </w:lvl>
    <w:lvl w:ilvl="8">
      <w:isLgl w:val="true"/>
      <w:lvlJc w:val="left"/>
      <w:lvlText w:val="%1.%2.%3.%4.%5.%6.%7.%8.%9."/>
      <w:numFmt w:val="decimal"/>
      <w:pPr>
        <w:pBdr/>
        <w:spacing/>
        <w:ind w:hanging="2160" w:left="3011"/>
      </w:pPr>
      <w:rPr>
        <w:rFonts w:hint="default"/>
      </w:rPr>
      <w:start w:val="1"/>
      <w:suff w:val="tab"/>
    </w:lvl>
  </w:abstractNum>
  <w:num w:numId="1">
    <w:abstractNumId w:val="0"/>
  </w:num>
  <w:num w:numId="2">
    <w:abstractNumId w:val="9"/>
  </w:num>
  <w:num w:numId="3">
    <w:abstractNumId w:val="22"/>
  </w:num>
  <w:num w:numId="4">
    <w:abstractNumId w:val="26"/>
  </w:num>
  <w:num w:numId="5">
    <w:abstractNumId w:val="31"/>
  </w:num>
  <w:num w:numId="6">
    <w:abstractNumId w:val="30"/>
  </w:num>
  <w:num w:numId="7">
    <w:abstractNumId w:val="4"/>
  </w:num>
  <w:num w:numId="8">
    <w:abstractNumId w:val="8"/>
  </w:num>
  <w:num w:numId="9">
    <w:abstractNumId w:val="3"/>
  </w:num>
  <w:num w:numId="10">
    <w:abstractNumId w:val="25"/>
  </w:num>
  <w:num w:numId="11">
    <w:abstractNumId w:val="29"/>
  </w:num>
  <w:num w:numId="12">
    <w:abstractNumId w:val="12"/>
  </w:num>
  <w:num w:numId="13">
    <w:abstractNumId w:val="14"/>
  </w:num>
  <w:num w:numId="14">
    <w:abstractNumId w:val="21"/>
  </w:num>
  <w:num w:numId="15">
    <w:abstractNumId w:val="11"/>
  </w:num>
  <w:num w:numId="16">
    <w:abstractNumId w:val="17"/>
  </w:num>
  <w:num w:numId="17">
    <w:abstractNumId w:val="18"/>
  </w:num>
  <w:num w:numId="18">
    <w:abstractNumId w:val="33"/>
  </w:num>
  <w:num w:numId="19">
    <w:abstractNumId w:val="6"/>
  </w:num>
  <w:num w:numId="20">
    <w:abstractNumId w:val="23"/>
  </w:num>
  <w:num w:numId="21">
    <w:abstractNumId w:val="27"/>
  </w:num>
  <w:num w:numId="22">
    <w:abstractNumId w:val="13"/>
  </w:num>
  <w:num w:numId="23">
    <w:abstractNumId w:val="10"/>
  </w:num>
  <w:num w:numId="24">
    <w:abstractNumId w:val="7"/>
  </w:num>
  <w:num w:numId="25">
    <w:abstractNumId w:val="20"/>
  </w:num>
  <w:num w:numId="26">
    <w:abstractNumId w:val="16"/>
  </w:num>
  <w:num w:numId="27">
    <w:abstractNumId w:val="15"/>
  </w:num>
  <w:num w:numId="28">
    <w:abstractNumId w:val="2"/>
  </w:num>
  <w:num w:numId="29">
    <w:abstractNumId w:val="28"/>
  </w:num>
  <w:num w:numId="30">
    <w:abstractNumId w:val="24"/>
  </w:num>
  <w:num w:numId="31">
    <w:abstractNumId w:val="1"/>
  </w:num>
  <w:num w:numId="32">
    <w:abstractNumId w:val="19"/>
  </w:num>
  <w:num w:numId="33">
    <w:abstractNumId w:val="32"/>
  </w:num>
  <w:num w:numId="34">
    <w:abstractNumId w:val="5"/>
  </w:num>
  <w:num w:numId="35">
    <w:abstractNumId w:val="34"/>
  </w:num>
  <w:num w:numId="3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825">
    <w:name w:val="Table Grid Light"/>
    <w:basedOn w:val="1007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Plain Table 1"/>
    <w:basedOn w:val="1007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Plain Table 2"/>
    <w:basedOn w:val="1007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Plain Table 3"/>
    <w:basedOn w:val="10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Plain Table 4"/>
    <w:basedOn w:val="10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Plain Table 5"/>
    <w:basedOn w:val="10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Grid Table 1 Light"/>
    <w:basedOn w:val="10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Grid Table 1 Light - Accent 1"/>
    <w:basedOn w:val="10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Grid Table 1 Light - Accent 2"/>
    <w:basedOn w:val="10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Grid Table 1 Light - Accent 3"/>
    <w:basedOn w:val="10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Grid Table 1 Light - Accent 4"/>
    <w:basedOn w:val="10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Grid Table 1 Light - Accent 5"/>
    <w:basedOn w:val="10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Grid Table 1 Light - Accent 6"/>
    <w:basedOn w:val="10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Grid Table 2"/>
    <w:basedOn w:val="10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Grid Table 2 - Accent 1"/>
    <w:basedOn w:val="10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Grid Table 2 - Accent 2"/>
    <w:basedOn w:val="10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Grid Table 2 - Accent 3"/>
    <w:basedOn w:val="10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Grid Table 2 - Accent 4"/>
    <w:basedOn w:val="10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Grid Table 2 - Accent 5"/>
    <w:basedOn w:val="10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Grid Table 2 - Accent 6"/>
    <w:basedOn w:val="10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Grid Table 3"/>
    <w:basedOn w:val="10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Grid Table 3 - Accent 1"/>
    <w:basedOn w:val="10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>
    <w:name w:val="Grid Table 3 - Accent 2"/>
    <w:basedOn w:val="10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Grid Table 3 - Accent 3"/>
    <w:basedOn w:val="10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Grid Table 3 - Accent 4"/>
    <w:basedOn w:val="10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>
    <w:name w:val="Grid Table 3 - Accent 5"/>
    <w:basedOn w:val="10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Grid Table 3 - Accent 6"/>
    <w:basedOn w:val="10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Grid Table 4"/>
    <w:basedOn w:val="100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Grid Table 4 - Accent 1"/>
    <w:basedOn w:val="100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Grid Table 4 - Accent 2"/>
    <w:basedOn w:val="100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Grid Table 4 - Accent 3"/>
    <w:basedOn w:val="100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Grid Table 4 - Accent 4"/>
    <w:basedOn w:val="100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Grid Table 4 - Accent 5"/>
    <w:basedOn w:val="100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Grid Table 4 - Accent 6"/>
    <w:basedOn w:val="100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>
    <w:name w:val="Grid Table 5 Dark"/>
    <w:basedOn w:val="10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>
    <w:name w:val="Grid Table 5 Dark- Accent 1"/>
    <w:basedOn w:val="10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Grid Table 5 Dark - Accent 2"/>
    <w:basedOn w:val="10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>
    <w:name w:val="Grid Table 5 Dark - Accent 3"/>
    <w:basedOn w:val="10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Grid Table 5 Dark- Accent 4"/>
    <w:basedOn w:val="10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>
    <w:name w:val="Grid Table 5 Dark - Accent 5"/>
    <w:basedOn w:val="10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>
    <w:name w:val="Grid Table 5 Dark - Accent 6"/>
    <w:basedOn w:val="10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>
    <w:name w:val="Grid Table 6 Colorful"/>
    <w:basedOn w:val="10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67">
    <w:name w:val="Grid Table 6 Colorful - Accent 1"/>
    <w:basedOn w:val="10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Grid Table 6 Colorful - Accent 2"/>
    <w:basedOn w:val="10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69">
    <w:name w:val="Grid Table 6 Colorful - Accent 3"/>
    <w:basedOn w:val="10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Grid Table 6 Colorful - Accent 4"/>
    <w:basedOn w:val="10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71">
    <w:name w:val="Grid Table 6 Colorful - Accent 5"/>
    <w:basedOn w:val="10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72">
    <w:name w:val="Grid Table 6 Colorful - Accent 6"/>
    <w:basedOn w:val="10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73">
    <w:name w:val="Grid Table 7 Colorful"/>
    <w:basedOn w:val="10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>
    <w:name w:val="Grid Table 7 Colorful - Accent 1"/>
    <w:basedOn w:val="10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Grid Table 7 Colorful - Accent 2"/>
    <w:basedOn w:val="10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>
    <w:name w:val="Grid Table 7 Colorful - Accent 3"/>
    <w:basedOn w:val="10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Grid Table 7 Colorful - Accent 4"/>
    <w:basedOn w:val="10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>
    <w:name w:val="Grid Table 7 Colorful - Accent 5"/>
    <w:basedOn w:val="10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>
    <w:name w:val="Grid Table 7 Colorful - Accent 6"/>
    <w:basedOn w:val="10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>
    <w:name w:val="List Table 1 Light"/>
    <w:basedOn w:val="10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>
    <w:name w:val="List Table 1 Light - Accent 1"/>
    <w:basedOn w:val="10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>
    <w:name w:val="List Table 1 Light - Accent 2"/>
    <w:basedOn w:val="10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>
    <w:name w:val="List Table 1 Light - Accent 3"/>
    <w:basedOn w:val="10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>
    <w:name w:val="List Table 1 Light - Accent 4"/>
    <w:basedOn w:val="10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>
    <w:name w:val="List Table 1 Light - Accent 5"/>
    <w:basedOn w:val="10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>
    <w:name w:val="List Table 1 Light - Accent 6"/>
    <w:basedOn w:val="10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>
    <w:name w:val="List Table 2"/>
    <w:basedOn w:val="10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>
    <w:name w:val="List Table 2 - Accent 1"/>
    <w:basedOn w:val="10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>
    <w:name w:val="List Table 2 - Accent 2"/>
    <w:basedOn w:val="10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>
    <w:name w:val="List Table 2 - Accent 3"/>
    <w:basedOn w:val="10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>
    <w:name w:val="List Table 2 - Accent 4"/>
    <w:basedOn w:val="10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>
    <w:name w:val="List Table 2 - Accent 5"/>
    <w:basedOn w:val="10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>
    <w:name w:val="List Table 2 - Accent 6"/>
    <w:basedOn w:val="10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>
    <w:name w:val="List Table 3"/>
    <w:basedOn w:val="10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>
    <w:name w:val="List Table 3 - Accent 1"/>
    <w:basedOn w:val="10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>
    <w:name w:val="List Table 3 - Accent 2"/>
    <w:basedOn w:val="10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>
    <w:name w:val="List Table 3 - Accent 3"/>
    <w:basedOn w:val="10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>
    <w:name w:val="List Table 3 - Accent 4"/>
    <w:basedOn w:val="10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>
    <w:name w:val="List Table 3 - Accent 5"/>
    <w:basedOn w:val="10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>
    <w:name w:val="List Table 3 - Accent 6"/>
    <w:basedOn w:val="10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>
    <w:name w:val="List Table 4"/>
    <w:basedOn w:val="10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>
    <w:name w:val="List Table 4 - Accent 1"/>
    <w:basedOn w:val="10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>
    <w:name w:val="List Table 4 - Accent 2"/>
    <w:basedOn w:val="10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>
    <w:name w:val="List Table 4 - Accent 3"/>
    <w:basedOn w:val="10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5">
    <w:name w:val="List Table 4 - Accent 4"/>
    <w:basedOn w:val="10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6">
    <w:name w:val="List Table 4 - Accent 5"/>
    <w:basedOn w:val="10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7">
    <w:name w:val="List Table 4 - Accent 6"/>
    <w:basedOn w:val="10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8">
    <w:name w:val="List Table 5 Dark"/>
    <w:basedOn w:val="10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09">
    <w:name w:val="List Table 5 Dark - Accent 1"/>
    <w:basedOn w:val="10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10">
    <w:name w:val="List Table 5 Dark - Accent 2"/>
    <w:basedOn w:val="10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11">
    <w:name w:val="List Table 5 Dark - Accent 3"/>
    <w:basedOn w:val="10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12">
    <w:name w:val="List Table 5 Dark - Accent 4"/>
    <w:basedOn w:val="10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13">
    <w:name w:val="List Table 5 Dark - Accent 5"/>
    <w:basedOn w:val="10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14">
    <w:name w:val="List Table 5 Dark - Accent 6"/>
    <w:basedOn w:val="10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15">
    <w:name w:val="List Table 6 Colorful"/>
    <w:basedOn w:val="10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6">
    <w:name w:val="List Table 6 Colorful - Accent 1"/>
    <w:basedOn w:val="10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7">
    <w:name w:val="List Table 6 Colorful - Accent 2"/>
    <w:basedOn w:val="10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8">
    <w:name w:val="List Table 6 Colorful - Accent 3"/>
    <w:basedOn w:val="10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9">
    <w:name w:val="List Table 6 Colorful - Accent 4"/>
    <w:basedOn w:val="10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0">
    <w:name w:val="List Table 6 Colorful - Accent 5"/>
    <w:basedOn w:val="10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1">
    <w:name w:val="List Table 6 Colorful - Accent 6"/>
    <w:basedOn w:val="10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2">
    <w:name w:val="List Table 7 Colorful"/>
    <w:basedOn w:val="10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23">
    <w:name w:val="List Table 7 Colorful - Accent 1"/>
    <w:basedOn w:val="10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24">
    <w:name w:val="List Table 7 Colorful - Accent 2"/>
    <w:basedOn w:val="10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25">
    <w:name w:val="List Table 7 Colorful - Accent 3"/>
    <w:basedOn w:val="10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26">
    <w:name w:val="List Table 7 Colorful - Accent 4"/>
    <w:basedOn w:val="10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27">
    <w:name w:val="List Table 7 Colorful - Accent 5"/>
    <w:basedOn w:val="10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28">
    <w:name w:val="List Table 7 Colorful - Accent 6"/>
    <w:basedOn w:val="10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29">
    <w:name w:val="Lined - Accent"/>
    <w:basedOn w:val="100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0">
    <w:name w:val="Lined - Accent 1"/>
    <w:basedOn w:val="100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1">
    <w:name w:val="Lined - Accent 2"/>
    <w:basedOn w:val="100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2">
    <w:name w:val="Lined - Accent 3"/>
    <w:basedOn w:val="100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3">
    <w:name w:val="Lined - Accent 4"/>
    <w:basedOn w:val="100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4">
    <w:name w:val="Lined - Accent 5"/>
    <w:basedOn w:val="100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5">
    <w:name w:val="Lined - Accent 6"/>
    <w:basedOn w:val="100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6">
    <w:name w:val="Bordered &amp; Lined - Accent"/>
    <w:basedOn w:val="100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7">
    <w:name w:val="Bordered &amp; Lined - Accent 1"/>
    <w:basedOn w:val="100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8">
    <w:name w:val="Bordered &amp; Lined - Accent 2"/>
    <w:basedOn w:val="100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9">
    <w:name w:val="Bordered &amp; Lined - Accent 3"/>
    <w:basedOn w:val="100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0">
    <w:name w:val="Bordered &amp; Lined - Accent 4"/>
    <w:basedOn w:val="100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1">
    <w:name w:val="Bordered &amp; Lined - Accent 5"/>
    <w:basedOn w:val="100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2">
    <w:name w:val="Bordered &amp; Lined - Accent 6"/>
    <w:basedOn w:val="100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3">
    <w:name w:val="Bordered"/>
    <w:basedOn w:val="10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4">
    <w:name w:val="Bordered - Accent 1"/>
    <w:basedOn w:val="10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5">
    <w:name w:val="Bordered - Accent 2"/>
    <w:basedOn w:val="10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6">
    <w:name w:val="Bordered - Accent 3"/>
    <w:basedOn w:val="10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7">
    <w:name w:val="Bordered - Accent 4"/>
    <w:basedOn w:val="10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8">
    <w:name w:val="Bordered - Accent 5"/>
    <w:basedOn w:val="10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9">
    <w:name w:val="Bordered - Accent 6"/>
    <w:basedOn w:val="10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950">
    <w:name w:val="Heading 1"/>
    <w:basedOn w:val="1005"/>
    <w:next w:val="1005"/>
    <w:link w:val="95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951">
    <w:name w:val="Heading 2"/>
    <w:basedOn w:val="1005"/>
    <w:next w:val="1005"/>
    <w:link w:val="96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952">
    <w:name w:val="Heading 3"/>
    <w:basedOn w:val="1005"/>
    <w:next w:val="1005"/>
    <w:link w:val="96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953">
    <w:name w:val="Heading 4"/>
    <w:basedOn w:val="1005"/>
    <w:next w:val="1005"/>
    <w:link w:val="96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954">
    <w:name w:val="Heading 5"/>
    <w:basedOn w:val="1005"/>
    <w:next w:val="1005"/>
    <w:link w:val="96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955">
    <w:name w:val="Heading 6"/>
    <w:basedOn w:val="1005"/>
    <w:next w:val="1005"/>
    <w:link w:val="96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956">
    <w:name w:val="Heading 7"/>
    <w:basedOn w:val="1005"/>
    <w:next w:val="1005"/>
    <w:link w:val="96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957">
    <w:name w:val="Heading 8"/>
    <w:basedOn w:val="1005"/>
    <w:next w:val="1005"/>
    <w:link w:val="96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958">
    <w:name w:val="Heading 9"/>
    <w:basedOn w:val="1005"/>
    <w:next w:val="1005"/>
    <w:link w:val="96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959">
    <w:name w:val="Heading 1 Char"/>
    <w:basedOn w:val="1006"/>
    <w:link w:val="95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960">
    <w:name w:val="Heading 2 Char"/>
    <w:basedOn w:val="1006"/>
    <w:link w:val="951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961">
    <w:name w:val="Heading 3 Char"/>
    <w:basedOn w:val="1006"/>
    <w:link w:val="95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962">
    <w:name w:val="Heading 4 Char"/>
    <w:basedOn w:val="1006"/>
    <w:link w:val="953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963">
    <w:name w:val="Heading 5 Char"/>
    <w:basedOn w:val="1006"/>
    <w:link w:val="954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964">
    <w:name w:val="Heading 6 Char"/>
    <w:basedOn w:val="1006"/>
    <w:link w:val="955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965">
    <w:name w:val="Heading 7 Char"/>
    <w:basedOn w:val="1006"/>
    <w:link w:val="956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966">
    <w:name w:val="Heading 8 Char"/>
    <w:basedOn w:val="1006"/>
    <w:link w:val="957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967">
    <w:name w:val="Heading 9 Char"/>
    <w:basedOn w:val="1006"/>
    <w:link w:val="958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968">
    <w:name w:val="Title"/>
    <w:basedOn w:val="1005"/>
    <w:next w:val="1005"/>
    <w:link w:val="96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969">
    <w:name w:val="Title Char"/>
    <w:basedOn w:val="1006"/>
    <w:link w:val="96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970">
    <w:name w:val="Subtitle"/>
    <w:basedOn w:val="1005"/>
    <w:next w:val="1005"/>
    <w:link w:val="97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971">
    <w:name w:val="Subtitle Char"/>
    <w:basedOn w:val="1006"/>
    <w:link w:val="97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972">
    <w:name w:val="Quote"/>
    <w:basedOn w:val="1005"/>
    <w:next w:val="1005"/>
    <w:link w:val="97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973">
    <w:name w:val="Quote Char"/>
    <w:basedOn w:val="1006"/>
    <w:link w:val="972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974">
    <w:name w:val="Intense Emphasis"/>
    <w:basedOn w:val="1006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975">
    <w:name w:val="Intense Quote"/>
    <w:basedOn w:val="1005"/>
    <w:next w:val="1005"/>
    <w:link w:val="976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976">
    <w:name w:val="Intense Quote Char"/>
    <w:basedOn w:val="1006"/>
    <w:link w:val="975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977">
    <w:name w:val="Intense Reference"/>
    <w:basedOn w:val="1006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978">
    <w:name w:val="No Spacing"/>
    <w:basedOn w:val="1005"/>
    <w:uiPriority w:val="1"/>
    <w:qFormat/>
    <w:pPr>
      <w:pBdr/>
      <w:spacing w:after="0" w:line="240" w:lineRule="auto"/>
      <w:ind/>
    </w:pPr>
  </w:style>
  <w:style w:type="character" w:styleId="979">
    <w:name w:val="Subtle Emphasis"/>
    <w:basedOn w:val="1006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980">
    <w:name w:val="Emphasis"/>
    <w:basedOn w:val="1006"/>
    <w:uiPriority w:val="20"/>
    <w:qFormat/>
    <w:pPr>
      <w:pBdr/>
      <w:spacing/>
      <w:ind/>
    </w:pPr>
    <w:rPr>
      <w:i/>
      <w:iCs/>
    </w:rPr>
  </w:style>
  <w:style w:type="character" w:styleId="981">
    <w:name w:val="Strong"/>
    <w:basedOn w:val="1006"/>
    <w:uiPriority w:val="22"/>
    <w:qFormat/>
    <w:pPr>
      <w:pBdr/>
      <w:spacing/>
      <w:ind/>
    </w:pPr>
    <w:rPr>
      <w:b/>
      <w:bCs/>
    </w:rPr>
  </w:style>
  <w:style w:type="character" w:styleId="982">
    <w:name w:val="Subtle Reference"/>
    <w:basedOn w:val="1006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983">
    <w:name w:val="Book Title"/>
    <w:basedOn w:val="1006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984">
    <w:name w:val="Header Char"/>
    <w:basedOn w:val="1006"/>
    <w:link w:val="1011"/>
    <w:uiPriority w:val="99"/>
    <w:pPr>
      <w:pBdr/>
      <w:spacing/>
      <w:ind/>
    </w:pPr>
  </w:style>
  <w:style w:type="character" w:styleId="985">
    <w:name w:val="Footer Char"/>
    <w:basedOn w:val="1006"/>
    <w:link w:val="1013"/>
    <w:uiPriority w:val="99"/>
    <w:pPr>
      <w:pBdr/>
      <w:spacing/>
      <w:ind/>
    </w:pPr>
  </w:style>
  <w:style w:type="paragraph" w:styleId="986">
    <w:name w:val="Caption"/>
    <w:basedOn w:val="1005"/>
    <w:next w:val="1005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987">
    <w:name w:val="footnote text"/>
    <w:basedOn w:val="1005"/>
    <w:link w:val="988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88">
    <w:name w:val="Footnote Text Char"/>
    <w:basedOn w:val="1006"/>
    <w:link w:val="987"/>
    <w:uiPriority w:val="99"/>
    <w:semiHidden/>
    <w:pPr>
      <w:pBdr/>
      <w:spacing/>
      <w:ind/>
    </w:pPr>
    <w:rPr>
      <w:sz w:val="20"/>
      <w:szCs w:val="20"/>
    </w:rPr>
  </w:style>
  <w:style w:type="character" w:styleId="989">
    <w:name w:val="footnote reference"/>
    <w:basedOn w:val="1006"/>
    <w:uiPriority w:val="99"/>
    <w:semiHidden/>
    <w:unhideWhenUsed/>
    <w:pPr>
      <w:pBdr/>
      <w:spacing/>
      <w:ind/>
    </w:pPr>
    <w:rPr>
      <w:vertAlign w:val="superscript"/>
    </w:rPr>
  </w:style>
  <w:style w:type="paragraph" w:styleId="990">
    <w:name w:val="endnote text"/>
    <w:basedOn w:val="1005"/>
    <w:link w:val="99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91">
    <w:name w:val="Endnote Text Char"/>
    <w:basedOn w:val="1006"/>
    <w:link w:val="990"/>
    <w:uiPriority w:val="99"/>
    <w:semiHidden/>
    <w:pPr>
      <w:pBdr/>
      <w:spacing/>
      <w:ind/>
    </w:pPr>
    <w:rPr>
      <w:sz w:val="20"/>
      <w:szCs w:val="20"/>
    </w:rPr>
  </w:style>
  <w:style w:type="character" w:styleId="992">
    <w:name w:val="endnote reference"/>
    <w:basedOn w:val="1006"/>
    <w:uiPriority w:val="99"/>
    <w:semiHidden/>
    <w:unhideWhenUsed/>
    <w:pPr>
      <w:pBdr/>
      <w:spacing/>
      <w:ind/>
    </w:pPr>
    <w:rPr>
      <w:vertAlign w:val="superscript"/>
    </w:rPr>
  </w:style>
  <w:style w:type="character" w:styleId="993">
    <w:name w:val="FollowedHyperlink"/>
    <w:basedOn w:val="1006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994">
    <w:name w:val="toc 1"/>
    <w:basedOn w:val="1005"/>
    <w:next w:val="1005"/>
    <w:uiPriority w:val="39"/>
    <w:unhideWhenUsed/>
    <w:pPr>
      <w:pBdr/>
      <w:spacing w:after="100"/>
      <w:ind/>
    </w:pPr>
  </w:style>
  <w:style w:type="paragraph" w:styleId="995">
    <w:name w:val="toc 2"/>
    <w:basedOn w:val="1005"/>
    <w:next w:val="1005"/>
    <w:uiPriority w:val="39"/>
    <w:unhideWhenUsed/>
    <w:pPr>
      <w:pBdr/>
      <w:spacing w:after="100"/>
      <w:ind w:left="220"/>
    </w:pPr>
  </w:style>
  <w:style w:type="paragraph" w:styleId="996">
    <w:name w:val="toc 3"/>
    <w:basedOn w:val="1005"/>
    <w:next w:val="1005"/>
    <w:uiPriority w:val="39"/>
    <w:unhideWhenUsed/>
    <w:pPr>
      <w:pBdr/>
      <w:spacing w:after="100"/>
      <w:ind w:left="440"/>
    </w:pPr>
  </w:style>
  <w:style w:type="paragraph" w:styleId="997">
    <w:name w:val="toc 4"/>
    <w:basedOn w:val="1005"/>
    <w:next w:val="1005"/>
    <w:uiPriority w:val="39"/>
    <w:unhideWhenUsed/>
    <w:pPr>
      <w:pBdr/>
      <w:spacing w:after="100"/>
      <w:ind w:left="660"/>
    </w:pPr>
  </w:style>
  <w:style w:type="paragraph" w:styleId="998">
    <w:name w:val="toc 5"/>
    <w:basedOn w:val="1005"/>
    <w:next w:val="1005"/>
    <w:uiPriority w:val="39"/>
    <w:unhideWhenUsed/>
    <w:pPr>
      <w:pBdr/>
      <w:spacing w:after="100"/>
      <w:ind w:left="880"/>
    </w:pPr>
  </w:style>
  <w:style w:type="paragraph" w:styleId="999">
    <w:name w:val="toc 6"/>
    <w:basedOn w:val="1005"/>
    <w:next w:val="1005"/>
    <w:uiPriority w:val="39"/>
    <w:unhideWhenUsed/>
    <w:pPr>
      <w:pBdr/>
      <w:spacing w:after="100"/>
      <w:ind w:left="1100"/>
    </w:pPr>
  </w:style>
  <w:style w:type="paragraph" w:styleId="1000">
    <w:name w:val="toc 7"/>
    <w:basedOn w:val="1005"/>
    <w:next w:val="1005"/>
    <w:uiPriority w:val="39"/>
    <w:unhideWhenUsed/>
    <w:pPr>
      <w:pBdr/>
      <w:spacing w:after="100"/>
      <w:ind w:left="1320"/>
    </w:pPr>
  </w:style>
  <w:style w:type="paragraph" w:styleId="1001">
    <w:name w:val="toc 8"/>
    <w:basedOn w:val="1005"/>
    <w:next w:val="1005"/>
    <w:uiPriority w:val="39"/>
    <w:unhideWhenUsed/>
    <w:pPr>
      <w:pBdr/>
      <w:spacing w:after="100"/>
      <w:ind w:left="1540"/>
    </w:pPr>
  </w:style>
  <w:style w:type="paragraph" w:styleId="1002">
    <w:name w:val="toc 9"/>
    <w:basedOn w:val="1005"/>
    <w:next w:val="1005"/>
    <w:uiPriority w:val="39"/>
    <w:unhideWhenUsed/>
    <w:pPr>
      <w:pBdr/>
      <w:spacing w:after="100"/>
      <w:ind w:left="1760"/>
    </w:pPr>
  </w:style>
  <w:style w:type="paragraph" w:styleId="1003">
    <w:name w:val="TOC Heading"/>
    <w:uiPriority w:val="39"/>
    <w:unhideWhenUsed/>
    <w:pPr>
      <w:pBdr/>
      <w:spacing/>
      <w:ind/>
    </w:pPr>
  </w:style>
  <w:style w:type="paragraph" w:styleId="1004">
    <w:name w:val="table of figures"/>
    <w:basedOn w:val="1005"/>
    <w:next w:val="1005"/>
    <w:uiPriority w:val="99"/>
    <w:unhideWhenUsed/>
    <w:pPr>
      <w:pBdr/>
      <w:spacing w:after="0" w:afterAutospacing="0"/>
      <w:ind/>
    </w:pPr>
  </w:style>
  <w:style w:type="paragraph" w:styleId="1005" w:default="1">
    <w:name w:val="Normal"/>
    <w:qFormat/>
    <w:pPr>
      <w:pBdr/>
      <w:spacing/>
      <w:ind/>
    </w:pPr>
  </w:style>
  <w:style w:type="character" w:styleId="1006" w:default="1">
    <w:name w:val="Default Paragraph Font"/>
    <w:uiPriority w:val="1"/>
    <w:semiHidden/>
    <w:unhideWhenUsed/>
    <w:pPr>
      <w:pBdr/>
      <w:spacing/>
      <w:ind/>
    </w:pPr>
  </w:style>
  <w:style w:type="table" w:styleId="1007" w:default="1">
    <w:name w:val="Normal Table"/>
    <w:uiPriority w:val="99"/>
    <w:semiHidden/>
    <w:unhideWhenUsed/>
    <w:pPr>
      <w:pBdr/>
      <w:spacing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1008" w:default="1">
    <w:name w:val="No List"/>
    <w:uiPriority w:val="99"/>
    <w:semiHidden/>
    <w:unhideWhenUsed/>
    <w:pPr>
      <w:pBdr/>
      <w:spacing/>
      <w:ind/>
    </w:pPr>
  </w:style>
  <w:style w:type="paragraph" w:styleId="1009">
    <w:name w:val="List Paragraph"/>
    <w:basedOn w:val="1005"/>
    <w:uiPriority w:val="34"/>
    <w:qFormat/>
    <w:pPr>
      <w:pBdr/>
      <w:spacing/>
      <w:ind w:left="720"/>
      <w:contextualSpacing w:val="true"/>
    </w:pPr>
  </w:style>
  <w:style w:type="table" w:styleId="1010">
    <w:name w:val="Table Grid"/>
    <w:basedOn w:val="1007"/>
    <w:uiPriority w:val="59"/>
    <w:pPr>
      <w:pBdr/>
      <w:spacing w:after="0" w:line="240" w:lineRule="auto"/>
      <w:ind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011">
    <w:name w:val="Header"/>
    <w:basedOn w:val="1005"/>
    <w:link w:val="1012"/>
    <w:uiPriority w:val="99"/>
    <w:unhideWhenUsed/>
    <w:pPr>
      <w:pBdr/>
      <w:tabs>
        <w:tab w:val="center" w:leader="none" w:pos="4677"/>
        <w:tab w:val="right" w:leader="none" w:pos="9355"/>
      </w:tabs>
      <w:spacing w:after="0" w:line="240" w:lineRule="auto"/>
      <w:ind/>
    </w:pPr>
  </w:style>
  <w:style w:type="character" w:styleId="1012" w:customStyle="1">
    <w:name w:val="Верхний колонтитул Знак"/>
    <w:basedOn w:val="1006"/>
    <w:link w:val="1011"/>
    <w:uiPriority w:val="99"/>
    <w:pPr>
      <w:pBdr/>
      <w:spacing/>
      <w:ind/>
    </w:pPr>
  </w:style>
  <w:style w:type="paragraph" w:styleId="1013">
    <w:name w:val="Footer"/>
    <w:basedOn w:val="1005"/>
    <w:link w:val="1014"/>
    <w:uiPriority w:val="99"/>
    <w:unhideWhenUsed/>
    <w:pPr>
      <w:pBdr/>
      <w:tabs>
        <w:tab w:val="center" w:leader="none" w:pos="4677"/>
        <w:tab w:val="right" w:leader="none" w:pos="9355"/>
      </w:tabs>
      <w:spacing w:after="0" w:line="240" w:lineRule="auto"/>
      <w:ind/>
    </w:pPr>
  </w:style>
  <w:style w:type="character" w:styleId="1014" w:customStyle="1">
    <w:name w:val="Нижний колонтитул Знак"/>
    <w:basedOn w:val="1006"/>
    <w:link w:val="1013"/>
    <w:uiPriority w:val="99"/>
    <w:pPr>
      <w:pBdr/>
      <w:spacing/>
      <w:ind/>
    </w:pPr>
  </w:style>
  <w:style w:type="paragraph" w:styleId="1015">
    <w:name w:val="Document Map"/>
    <w:basedOn w:val="1005"/>
    <w:link w:val="1016"/>
    <w:uiPriority w:val="99"/>
    <w:semiHidden/>
    <w:unhideWhenUsed/>
    <w:pPr>
      <w:pBdr/>
      <w:spacing w:after="0" w:line="240" w:lineRule="auto"/>
      <w:ind/>
    </w:pPr>
    <w:rPr>
      <w:rFonts w:ascii="Tahoma" w:hAnsi="Tahoma" w:cs="Tahoma"/>
      <w:sz w:val="16"/>
      <w:szCs w:val="16"/>
    </w:rPr>
  </w:style>
  <w:style w:type="character" w:styleId="1016" w:customStyle="1">
    <w:name w:val="Схема документа Знак"/>
    <w:basedOn w:val="1006"/>
    <w:link w:val="1015"/>
    <w:uiPriority w:val="99"/>
    <w:semiHidden/>
    <w:pPr>
      <w:pBdr/>
      <w:spacing/>
      <w:ind/>
    </w:pPr>
    <w:rPr>
      <w:rFonts w:ascii="Tahoma" w:hAnsi="Tahoma" w:cs="Tahoma"/>
      <w:sz w:val="16"/>
      <w:szCs w:val="16"/>
    </w:rPr>
  </w:style>
  <w:style w:type="paragraph" w:styleId="1017">
    <w:name w:val="Balloon Text"/>
    <w:basedOn w:val="1005"/>
    <w:link w:val="1018"/>
    <w:uiPriority w:val="99"/>
    <w:semiHidden/>
    <w:unhideWhenUsed/>
    <w:pPr>
      <w:pBdr/>
      <w:spacing w:after="0" w:line="240" w:lineRule="auto"/>
      <w:ind/>
    </w:pPr>
    <w:rPr>
      <w:rFonts w:ascii="Segoe UI" w:hAnsi="Segoe UI" w:cs="Segoe UI"/>
      <w:sz w:val="18"/>
      <w:szCs w:val="18"/>
    </w:rPr>
  </w:style>
  <w:style w:type="character" w:styleId="1018" w:customStyle="1">
    <w:name w:val="Текст выноски Знак"/>
    <w:basedOn w:val="1006"/>
    <w:link w:val="1017"/>
    <w:uiPriority w:val="99"/>
    <w:semiHidden/>
    <w:pPr>
      <w:pBdr/>
      <w:spacing/>
      <w:ind/>
    </w:pPr>
    <w:rPr>
      <w:rFonts w:ascii="Segoe UI" w:hAnsi="Segoe UI" w:cs="Segoe UI"/>
      <w:sz w:val="18"/>
      <w:szCs w:val="18"/>
    </w:rPr>
  </w:style>
  <w:style w:type="paragraph" w:styleId="1019" w:customStyle="1">
    <w:name w:val="ConsPlusNormal"/>
    <w:pPr>
      <w:widowControl w:val="false"/>
      <w:pBdr/>
      <w:spacing w:after="0" w:line="240" w:lineRule="auto"/>
      <w:ind/>
    </w:pPr>
    <w:rPr>
      <w:rFonts w:ascii="Calibri" w:hAnsi="Calibri" w:eastAsia="Times New Roman" w:cs="Calibri"/>
      <w:szCs w:val="20"/>
      <w:lang w:eastAsia="ru-RU"/>
    </w:rPr>
  </w:style>
  <w:style w:type="paragraph" w:styleId="1020" w:customStyle="1">
    <w:name w:val="ConsPlusTitle"/>
    <w:pPr>
      <w:widowControl w:val="false"/>
      <w:pBdr/>
      <w:spacing w:after="0" w:line="240" w:lineRule="auto"/>
      <w:ind/>
    </w:pPr>
    <w:rPr>
      <w:rFonts w:ascii="Calibri" w:hAnsi="Calibri" w:eastAsia="Times New Roman" w:cs="Calibri"/>
      <w:b/>
      <w:szCs w:val="20"/>
      <w:lang w:eastAsia="ru-RU"/>
    </w:rPr>
  </w:style>
  <w:style w:type="character" w:styleId="1021">
    <w:name w:val="Hyperlink"/>
    <w:basedOn w:val="1006"/>
    <w:uiPriority w:val="99"/>
    <w:unhideWhenUsed/>
    <w:pPr>
      <w:pBdr/>
      <w:spacing/>
      <w:ind/>
    </w:pPr>
    <w:rPr>
      <w:color w:val="0000ff" w:themeColor="hyperlink"/>
      <w:u w:val="single"/>
    </w:rPr>
  </w:style>
  <w:style w:type="character" w:styleId="1022">
    <w:name w:val="Placeholder Text"/>
    <w:basedOn w:val="1006"/>
    <w:uiPriority w:val="99"/>
    <w:semiHidden/>
    <w:pPr>
      <w:pBdr/>
      <w:spacing/>
      <w:ind/>
    </w:pPr>
    <w:rPr>
      <w:color w:val="666666"/>
    </w:rPr>
  </w:style>
  <w:style w:type="character" w:styleId="1023" w:customStyle="1">
    <w:name w:val="Неразрешенное упоминание1"/>
    <w:basedOn w:val="1006"/>
    <w:uiPriority w:val="99"/>
    <w:semiHidden/>
    <w:unhideWhenUsed/>
    <w:pPr>
      <w:pBdr/>
      <w:spacing/>
      <w:ind/>
    </w:pPr>
    <w:rPr>
      <w:color w:val="605e5c"/>
      <w:shd w:val="clear" w:color="auto" w:fill="e1dfdd"/>
    </w:rPr>
  </w:style>
  <w:style w:type="table" w:styleId="1024">
    <w:name w:val="Grid Table Light"/>
    <w:basedOn w:val="1007"/>
    <w:uiPriority w:val="40"/>
    <w:pPr>
      <w:pBdr/>
      <w:spacing w:after="0" w:line="240" w:lineRule="auto"/>
      <w:ind/>
    </w:pPr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customXml" Target="../customXml/item1.xml" /><Relationship Id="rId12" Type="http://schemas.openxmlformats.org/officeDocument/2006/relationships/hyperlink" Target="https://login.consultant.ru/link/?req=doc&amp;base=RLAW363&amp;n=178191&amp;dst=100019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CCFC57-D4B6-44E4-8945-37197B787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ONLYOFFICE/9.0.3.29</Application>
  <DocSecurity>0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mitrofanova</dc:creator>
  <cp:keywords/>
  <dc:description/>
  <cp:revision>24</cp:revision>
  <dcterms:created xsi:type="dcterms:W3CDTF">2024-08-12T11:33:00Z</dcterms:created>
  <dcterms:modified xsi:type="dcterms:W3CDTF">2025-08-11T07:08:50Z</dcterms:modified>
</cp:coreProperties>
</file>