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30"/>
        <w:pBdr/>
        <w:spacing w:after="0" w:line="288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 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ab/>
        <w:tab/>
        <w:tab/>
        <w:tab/>
        <w:tab/>
        <w:t xml:space="preserve"> </w:t>
        <w:tab/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4111"/>
          <w:tab w:val="left" w:leader="none" w:pos="4253"/>
          <w:tab w:val="left" w:leader="none" w:pos="4395"/>
          <w:tab w:val="left" w:leader="none" w:pos="4536"/>
        </w:tabs>
        <w:spacing w:after="0" w:line="288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4111"/>
          <w:tab w:val="left" w:leader="none" w:pos="4253"/>
          <w:tab w:val="left" w:leader="none" w:pos="4395"/>
          <w:tab w:val="left" w:leader="none" w:pos="4536"/>
        </w:tabs>
        <w:spacing w:after="0" w:line="288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крови и ее компонен</w:t>
      </w:r>
      <w:r>
        <w:rPr>
          <w:rFonts w:ascii="Times New Roman" w:hAnsi="Times New Roman"/>
          <w:sz w:val="28"/>
          <w:szCs w:val="28"/>
        </w:rPr>
        <w:t xml:space="preserve">-</w:t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 xml:space="preserve">на 2026 год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4395"/>
        </w:tabs>
        <w:spacing w:after="0" w:line="288" w:lineRule="auto"/>
        <w:ind w:righ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4395"/>
        </w:tabs>
        <w:spacing w:after="0" w:line="288" w:lineRule="auto"/>
        <w:ind w:righ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851"/>
          <w:tab w:val="left" w:leader="none" w:pos="993"/>
        </w:tabs>
        <w:spacing w:after="0" w:line="288" w:lineRule="auto"/>
        <w:ind w:left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медицинских организаций государственной системы здравоохранения Республики Татарстан, выполняющих государственную работу по заготовке, хранению, транспортировке и обеспечению безопасности донорской крови и ее компонентов,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2026 год 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плановый период 2027 и 2028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30"/>
        <w:pBdr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поправочные к</w:t>
      </w:r>
      <w:r>
        <w:rPr>
          <w:rFonts w:ascii="Times New Roman" w:hAnsi="Times New Roman"/>
          <w:sz w:val="28"/>
          <w:szCs w:val="28"/>
          <w:lang w:eastAsia="ru-RU"/>
        </w:rPr>
        <w:t xml:space="preserve">оэффициенты к нормативным затратам медицинских организаций государственной системы здравоохранения Республики Татарстан, выполняющих государственную работу по заготовке, хранению, транспортировке и обеспечению безопасности донорской крови и ее компонентов,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2027 и 2028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30"/>
        <w:pBdr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объемы государственной работы по заготовке, хранению, транспортировке и обеспечению безопасности донорской крови и ее компонентов, выполняемой медицинскими организациями государственной системы здравоохранения Республики Татарстан,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2026 год 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плановый период 2027 и 2028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30"/>
        <w:pBdr/>
        <w:spacing w:after="0" w:line="288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09.09.2024 № 748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крови и ее компонент</w:t>
      </w:r>
      <w:r>
        <w:rPr>
          <w:rFonts w:ascii="Times New Roman" w:hAnsi="Times New Roman"/>
          <w:sz w:val="28"/>
          <w:szCs w:val="28"/>
        </w:rPr>
        <w:t xml:space="preserve">ов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30"/>
        <w:pBdr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Министерство здравоохранения Республики Татарстан.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88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Установить, что настоящее постановление вступает в силу с 1 января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30"/>
        <w:pBdr/>
        <w:tabs>
          <w:tab w:val="left" w:leader="none" w:pos="0"/>
          <w:tab w:val="left" w:leader="none" w:pos="993"/>
        </w:tabs>
        <w:spacing w:after="0" w:line="288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0"/>
          <w:tab w:val="left" w:leader="none" w:pos="993"/>
        </w:tabs>
        <w:spacing w:after="0" w:line="288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0"/>
          <w:tab w:val="left" w:leader="none" w:pos="993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0"/>
          <w:tab w:val="left" w:leader="none" w:pos="993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0"/>
          <w:tab w:val="left" w:leader="none" w:pos="993"/>
        </w:tabs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А.В.Песошин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0"/>
          <w:tab w:val="left" w:leader="none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0"/>
          <w:tab w:val="left" w:leader="none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6"/>
          <w:footnotePr/>
          <w:endnotePr/>
          <w:type w:val="nextPage"/>
          <w:pgSz w:h="16838" w:orient="portrait" w:w="11906"/>
          <w:pgMar w:top="1134" w:right="567" w:bottom="1134" w:left="1134" w:header="510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6804"/>
          <w:tab w:val="left" w:leader="none" w:pos="7088"/>
        </w:tabs>
        <w:spacing w:after="0" w:line="240" w:lineRule="auto"/>
        <w:ind w:right="-1" w:firstLine="4677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firstLine="4677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firstLine="4677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firstLine="4677" w:left="6662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firstLine="4677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медицинских организаций государственной системы здравоохранения Республики Татарстан, выполняющих 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государственную работу по заготовке, хранению, транспортировке и обеспечению безопасности донорской крови 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и ее компонентов,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2026 год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плановый период 2027 и 2028 годов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Ind w:w="-80" w:type="dxa"/>
        <w:tblW w:w="15310" w:type="dxa"/>
        <w:tblCellMar>
          <w:left w:w="62" w:type="dxa"/>
          <w:top w:w="0" w:type="dxa"/>
          <w:right w:w="62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521"/>
        <w:gridCol w:w="1276"/>
        <w:gridCol w:w="1275"/>
        <w:gridCol w:w="1560"/>
      </w:tblGrid>
      <w:tr>
        <w:trPr>
          <w:trHeight w:val="47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9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нормативных затрат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Норматив,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рублей/литр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аименование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аименование продукта</w:t>
              <w:br w:type="textWrapping" w:clear="all"/>
              <w:t xml:space="preserve">переработки крови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0"/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1030"/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Заготовка, хранение, транспорти-ровка и обеспечение безопасности донорской крови и ее компонентов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от доноров крови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15 907,48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16 605,11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17 317,66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автоматического афереза (для заготовки свежезамороженной плазмы методом плазмафереза)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17 029,9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17 772,78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18 531,79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тромбоцитофереза (для заготовки свежезамороженной плазмы методом плазмафереза)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17 209,75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17 960,96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18 728,48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Style w:val="1030"/>
        <w:pBdr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h="11906" w:orient="landscape" w:w="16838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663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 w:left="6096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1030"/>
        <w:pBdr/>
        <w:spacing w:after="0" w:line="240" w:lineRule="auto"/>
        <w:ind w:right="-1" w:left="60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Поправочные коэффициенты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нормативным затратам медицинских организаций государственной системы </w:t>
        <w:br w:type="textWrapping" w:clear="all"/>
        <w:t xml:space="preserve">здравоохранения Республики Татарстан, выполняющих государственную работу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заготовке, хранению, транспортировке и обеспечению безопасности донорской крови и ее компонентов, </w:t>
      </w:r>
      <w:r>
        <w:rPr>
          <w:rFonts w:ascii="Times New Roman" w:hAnsi="Times New Roman"/>
          <w:sz w:val="28"/>
          <w:szCs w:val="28"/>
        </w:rPr>
        <w:t xml:space="preserve">на 2026 год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Look w:val="04A0" w:firstRow="1" w:lastRow="0" w:firstColumn="1" w:lastColumn="0" w:noHBand="0" w:noVBand="1"/>
      </w:tblPr>
      <w:tblGrid>
        <w:gridCol w:w="5778"/>
        <w:gridCol w:w="1560"/>
        <w:gridCol w:w="1559"/>
        <w:gridCol w:w="1524"/>
      </w:tblGrid>
      <w:tr>
        <w:trPr>
          <w:trHeight w:val="4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8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0"/>
              <w:pBdr/>
              <w:tabs>
                <w:tab w:val="left" w:leader="none" w:pos="1574"/>
                <w:tab w:val="center" w:leader="none" w:pos="328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оправочн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8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0"/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vAlign w:val="top"/>
            <w:textDirection w:val="lrTb"/>
            <w:noWrap w:val="false"/>
          </w:tcPr>
          <w:p>
            <w:pPr>
              <w:pStyle w:val="1030"/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8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«Республиканский центр крови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0,915954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0,936821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0,959364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8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«Межрегиональный клинико-диагностический центр»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0,470357</w:t>
            </w:r>
            <w:r/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  <w:r/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0,479543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0,489430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8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«Республиканская клиническая больница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0,489137</w:t>
            </w:r>
            <w:r/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  <w:r/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0,505716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0,523539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8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учреждение здравоохранения «Детская республиканская клиническая больница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30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0,312110</w:t>
            </w:r>
            <w:r/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/>
            <w:r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0,324395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  <w:t xml:space="preserve">0,337621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ndefined"/>
              </w:rPr>
            </w:r>
          </w:p>
        </w:tc>
      </w:tr>
    </w:tbl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  <w:sectPr>
          <w:headerReference w:type="default" r:id="rId13"/>
          <w:footnotePr/>
          <w:endnotePr/>
          <w:type w:val="nextPage"/>
          <w:pgSz w:h="16838" w:orient="portrait" w:w="11906"/>
          <w:pgMar w:top="1134" w:right="567" w:bottom="1134" w:left="1134" w:header="708" w:footer="131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31" w:left="11482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31" w:left="11482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31" w:left="11482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31" w:left="11482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31" w:left="11482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widowControl w:val="false"/>
        <w:pBdr/>
        <w:spacing w:after="0" w:line="240" w:lineRule="auto"/>
        <w:ind w:right="-314"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государственной работы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widowControl w:val="false"/>
        <w:pBdr/>
        <w:spacing w:after="0" w:line="240" w:lineRule="auto"/>
        <w:ind w:right="-314"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заготовке, хранению, транспортировке и обеспечению безопасности донорской крови и ее компонентов,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widowControl w:val="false"/>
        <w:pBdr/>
        <w:spacing w:after="0" w:line="240" w:lineRule="auto"/>
        <w:ind w:right="-314"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выполняемой медицинскими организациями государственной системы здравоохранения Республики Татарстан,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widowControl w:val="false"/>
        <w:pBdr/>
        <w:spacing w:after="0" w:line="240" w:lineRule="auto"/>
        <w:ind w:right="-314"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2026 год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widowControl w:val="false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62" w:type="dxa"/>
        <w:tblW w:w="15310" w:type="dxa"/>
        <w:tblCellMar>
          <w:left w:w="62" w:type="dxa"/>
          <w:top w:w="0" w:type="dxa"/>
          <w:right w:w="62" w:type="dxa"/>
          <w:bottom w:w="0" w:type="dxa"/>
        </w:tblCellMar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410"/>
        <w:gridCol w:w="1701"/>
        <w:gridCol w:w="1842"/>
        <w:gridCol w:w="1985"/>
        <w:gridCol w:w="1985"/>
      </w:tblGrid>
      <w:tr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продукта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переработки крови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объема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Единица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измерения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работы в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56"/>
        </w:trPr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1030"/>
        <w:widowControl w:val="false"/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62" w:type="dxa"/>
        <w:tblW w:w="15310" w:type="dxa"/>
        <w:tblCellMar>
          <w:left w:w="62" w:type="dxa"/>
          <w:top w:w="0" w:type="dxa"/>
          <w:right w:w="62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410"/>
        <w:gridCol w:w="1701"/>
        <w:gridCol w:w="1842"/>
        <w:gridCol w:w="1985"/>
        <w:gridCol w:w="1985"/>
      </w:tblGrid>
      <w:tr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«Республиканский центр крови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Заготовка, 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нение, тран-спортировка и обеспечение безопасности донорской кро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 и ее компонентов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от доноров крови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условных единиц продуктов переработки крови (в пересчете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литр цельной крови)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условных единиц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том числе литров)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25 643,6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25 643,6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25 643,6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автоматического афереза (для заготовки свежезамороженной плазмы методом плазма-фереза)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7 102,3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7 102,3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7 102,3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тромбоцитофереза (для заготовки свежезаморо-женной плазмы методом плазмафереза)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11 327,4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11 327,4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11 327,4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«Межрегиональный клинико-диагностический центр»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Заготовка, 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нение, тран-спортировка и обеспечение безопасности донорской кро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 и ее компонентов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от доноров крови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условных единиц продуктов переработки крови (в пересчете на                 1 литр цельной крови)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условных единиц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том числе литров)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1 200,8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1 200,8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1 200,8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автоматического афереза (для заготовки свежезамороженной плазмы методом плазма-фереза)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2 329,6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2 329,6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2 329,6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тромбоцито-фереза (для заготовки свежезамороженной плазмы методом плазма-фереза)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715,4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715,4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715,4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«Республиканская клиническая больница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Заготовка, 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нение, тран-спортировка и обеспечение безопасности донорской кро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 и ее компонентов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от доноров крови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условных единиц продуктов переработки крови (в пересчете на                   1 литр цельной крови)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условных единиц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том числе литров)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3 466,5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3 466,5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3 466,5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автоматического афереза (для заготовки свежезамороженной плазмы методом плазма-фереза)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тромбоцито-фереза (для заготовки свежезамороженной плазмы методом плазма-фереза)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4 870,5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4 870,5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4 870,5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«Детская республиканская клиническая больница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Заготовка, 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нение, тран-спортировка и обеспечение безопасности донорской кро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 и ее компонентов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от доноров крови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условных единиц продуктов переработки крови (в пересчете на                 1 литр цельной крови)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условных единиц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том числе литров)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875,0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875,0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875,0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автоматического афереза (для заготовки свежезамороженной плазмы методом плазма-фереза)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цельная донорская кровь методом тромбоцито-фереза (для заготовки свежезамороженной плазмы методом плазма-фереза)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30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1030"/>
        <w:widowControl w:val="false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  <w:sectPr>
          <w:headerReference w:type="default" r:id="rId14"/>
          <w:headerReference w:type="first" r:id="rId15"/>
          <w:footnotePr/>
          <w:endnotePr/>
          <w:type w:val="nextPage"/>
          <w:pgSz w:h="11906" w:orient="landscape" w:w="16838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30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крови и ее компонен</w:t>
      </w:r>
      <w:r>
        <w:rPr>
          <w:rFonts w:ascii="Times New Roman" w:hAnsi="Times New Roman"/>
          <w:b/>
          <w:sz w:val="28"/>
          <w:szCs w:val="28"/>
        </w:rPr>
        <w:t xml:space="preserve">тов на 2026 год и на плановый период 2027 и 2028 годов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30"/>
        <w:pBdr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48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крови и ее компоненто</w:t>
      </w:r>
      <w:r>
        <w:rPr>
          <w:rFonts w:ascii="Times New Roman" w:hAnsi="Times New Roman"/>
          <w:sz w:val="28"/>
          <w:szCs w:val="28"/>
        </w:rPr>
        <w:t xml:space="preserve">в 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разработан в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 от 23.12.2024 № 2996-р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tabs>
          <w:tab w:val="left" w:leader="none" w:pos="48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на 2026 год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2027 и 2028 годов </w:t>
      </w:r>
      <w:r>
        <w:rPr>
          <w:rFonts w:ascii="Times New Roman" w:hAnsi="Times New Roman"/>
          <w:sz w:val="28"/>
          <w:szCs w:val="28"/>
        </w:rPr>
        <w:t xml:space="preserve">утверждаются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нормативные затраты медицинских организаций государственной системы здравоохранения Республики Татарстан, выполняющих государственную работу по заготовке, хранению, транспортировке и обеспечению безопасности донорской крови и ее компонентов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30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оправочные коэффициенты к нормативным затратам медицинских организаций государственной системы здравоохранения Республики Татарстан, выполняющих государственную работу по заготовке, хранению, транспортировке и обеспечению безопасности донорской крови и ее </w:t>
      </w:r>
      <w:r>
        <w:rPr>
          <w:rFonts w:ascii="Times New Roman" w:hAnsi="Times New Roman"/>
          <w:sz w:val="28"/>
          <w:szCs w:val="28"/>
        </w:rPr>
        <w:t xml:space="preserve">компонентов;</w:t>
      </w:r>
      <w:r/>
    </w:p>
    <w:p>
      <w:pPr>
        <w:pStyle w:val="103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государственной работы по заготовке, хранению, транспортировке и обеспечению безопасности донорской крови и ее компонентов, выполняемой медицинскими организациями государственной системы здравоохранения Республики Татарстан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/>
          <w:sz w:val="28"/>
          <w:szCs w:val="28"/>
        </w:rPr>
        <w:t xml:space="preserve">с 1 января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призна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 утратившим сил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 09.09.2024 № 748 «Об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</w:t>
      </w:r>
      <w:r>
        <w:rPr>
          <w:rFonts w:ascii="Times New Roman" w:hAnsi="Times New Roman"/>
          <w:sz w:val="28"/>
          <w:szCs w:val="28"/>
        </w:rPr>
        <w:t xml:space="preserve">крови и ее компонентов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</w:p>
    <w:p>
      <w:pPr>
        <w:pStyle w:val="1030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</w:p>
    <w:p>
      <w:pPr>
        <w:pStyle w:val="103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134" w:header="510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0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pBdr/>
      <w:spacing/>
      <w:ind/>
      <w:jc w:val="center"/>
      <w:rPr/>
    </w:pPr>
    <w:r/>
    <w:r/>
  </w:p>
  <w:p>
    <w:pPr>
      <w:pStyle w:val="1037"/>
      <w:pBdr/>
      <w:spacing/>
      <w:ind/>
      <w:jc w:val="center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05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05"/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05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4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Table Grid"/>
    <w:basedOn w:val="8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Table Grid Light"/>
    <w:basedOn w:val="8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1"/>
    <w:basedOn w:val="8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Plain Table 2"/>
    <w:basedOn w:val="8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Plain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Plain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Plain Table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4 - Accent 1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4 - Accent 2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4 - Accent 3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4 - Accent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 - Accent 5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4 - Accent 6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5 Dark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5 Dark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4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4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4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4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4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4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5 Dark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5 Dark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&amp; 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&amp; 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&amp; 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 &amp; 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&amp; 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&amp; 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&amp; 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8">
    <w:name w:val="Heading 1"/>
    <w:basedOn w:val="1030"/>
    <w:next w:val="1030"/>
    <w:link w:val="97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69">
    <w:name w:val="Heading 2"/>
    <w:basedOn w:val="1030"/>
    <w:next w:val="1030"/>
    <w:link w:val="98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70">
    <w:name w:val="Heading 3"/>
    <w:basedOn w:val="1030"/>
    <w:next w:val="1030"/>
    <w:link w:val="98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71">
    <w:name w:val="Heading 4"/>
    <w:basedOn w:val="1030"/>
    <w:next w:val="1030"/>
    <w:link w:val="98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72">
    <w:name w:val="Heading 5"/>
    <w:basedOn w:val="1030"/>
    <w:next w:val="1030"/>
    <w:link w:val="98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73">
    <w:name w:val="Heading 6"/>
    <w:basedOn w:val="1030"/>
    <w:next w:val="1030"/>
    <w:link w:val="98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74">
    <w:name w:val="Heading 7"/>
    <w:basedOn w:val="1030"/>
    <w:next w:val="1030"/>
    <w:link w:val="98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75">
    <w:name w:val="Heading 8"/>
    <w:basedOn w:val="1030"/>
    <w:next w:val="1030"/>
    <w:link w:val="98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76">
    <w:name w:val="Heading 9"/>
    <w:basedOn w:val="1030"/>
    <w:next w:val="1030"/>
    <w:link w:val="98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77" w:default="1">
    <w:name w:val="Default Paragraph Font"/>
    <w:uiPriority w:val="1"/>
    <w:semiHidden/>
    <w:unhideWhenUsed/>
    <w:pPr>
      <w:pBdr/>
      <w:spacing/>
      <w:ind/>
    </w:pPr>
  </w:style>
  <w:style w:type="numbering" w:styleId="978" w:default="1">
    <w:name w:val="No List"/>
    <w:uiPriority w:val="99"/>
    <w:semiHidden/>
    <w:unhideWhenUsed/>
    <w:pPr>
      <w:pBdr/>
      <w:spacing/>
      <w:ind/>
    </w:pPr>
  </w:style>
  <w:style w:type="character" w:styleId="979">
    <w:name w:val="Heading 1 Char"/>
    <w:basedOn w:val="977"/>
    <w:link w:val="9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0">
    <w:name w:val="Heading 2 Char"/>
    <w:basedOn w:val="977"/>
    <w:link w:val="9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1">
    <w:name w:val="Heading 3 Char"/>
    <w:basedOn w:val="977"/>
    <w:link w:val="9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2">
    <w:name w:val="Heading 4 Char"/>
    <w:basedOn w:val="977"/>
    <w:link w:val="97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3">
    <w:name w:val="Heading 5 Char"/>
    <w:basedOn w:val="977"/>
    <w:link w:val="9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4">
    <w:name w:val="Heading 6 Char"/>
    <w:basedOn w:val="977"/>
    <w:link w:val="97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85">
    <w:name w:val="Heading 7 Char"/>
    <w:basedOn w:val="977"/>
    <w:link w:val="97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86">
    <w:name w:val="Heading 8 Char"/>
    <w:basedOn w:val="977"/>
    <w:link w:val="9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87">
    <w:name w:val="Heading 9 Char"/>
    <w:basedOn w:val="977"/>
    <w:link w:val="97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88">
    <w:name w:val="Title"/>
    <w:basedOn w:val="1030"/>
    <w:next w:val="1030"/>
    <w:link w:val="98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89">
    <w:name w:val="Title Char"/>
    <w:basedOn w:val="977"/>
    <w:link w:val="98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90">
    <w:name w:val="Subtitle"/>
    <w:basedOn w:val="1030"/>
    <w:next w:val="1030"/>
    <w:link w:val="99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91">
    <w:name w:val="Subtitle Char"/>
    <w:basedOn w:val="977"/>
    <w:link w:val="99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2">
    <w:name w:val="Quote"/>
    <w:basedOn w:val="1030"/>
    <w:next w:val="1030"/>
    <w:link w:val="99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3">
    <w:name w:val="Quote Char"/>
    <w:basedOn w:val="977"/>
    <w:link w:val="99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94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character" w:styleId="995">
    <w:name w:val="Intense Emphasis"/>
    <w:basedOn w:val="9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96">
    <w:name w:val="Intense Quote"/>
    <w:basedOn w:val="1030"/>
    <w:next w:val="1030"/>
    <w:link w:val="99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97">
    <w:name w:val="Intense Quote Char"/>
    <w:basedOn w:val="977"/>
    <w:link w:val="99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98">
    <w:name w:val="Intense Reference"/>
    <w:basedOn w:val="9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99">
    <w:name w:val="No Spacing"/>
    <w:basedOn w:val="1030"/>
    <w:uiPriority w:val="1"/>
    <w:qFormat/>
    <w:pPr>
      <w:pBdr/>
      <w:spacing w:after="0" w:line="240" w:lineRule="auto"/>
      <w:ind/>
    </w:pPr>
  </w:style>
  <w:style w:type="character" w:styleId="1000">
    <w:name w:val="Subtle Emphasis"/>
    <w:basedOn w:val="97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1">
    <w:name w:val="Emphasis"/>
    <w:basedOn w:val="977"/>
    <w:uiPriority w:val="20"/>
    <w:qFormat/>
    <w:pPr>
      <w:pBdr/>
      <w:spacing/>
      <w:ind/>
    </w:pPr>
    <w:rPr>
      <w:i/>
      <w:iCs/>
    </w:rPr>
  </w:style>
  <w:style w:type="character" w:styleId="1002">
    <w:name w:val="Strong"/>
    <w:basedOn w:val="977"/>
    <w:uiPriority w:val="22"/>
    <w:qFormat/>
    <w:pPr>
      <w:pBdr/>
      <w:spacing/>
      <w:ind/>
    </w:pPr>
    <w:rPr>
      <w:b/>
      <w:bCs/>
    </w:rPr>
  </w:style>
  <w:style w:type="character" w:styleId="1003">
    <w:name w:val="Subtle Reference"/>
    <w:basedOn w:val="9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4">
    <w:name w:val="Book Title"/>
    <w:basedOn w:val="97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05">
    <w:name w:val="Header"/>
    <w:basedOn w:val="1030"/>
    <w:link w:val="100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06">
    <w:name w:val="Header Char"/>
    <w:basedOn w:val="977"/>
    <w:link w:val="1005"/>
    <w:uiPriority w:val="99"/>
    <w:pPr>
      <w:pBdr/>
      <w:spacing/>
      <w:ind/>
    </w:pPr>
  </w:style>
  <w:style w:type="paragraph" w:styleId="1007">
    <w:name w:val="Footer"/>
    <w:basedOn w:val="1030"/>
    <w:link w:val="100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08">
    <w:name w:val="Footer Char"/>
    <w:basedOn w:val="977"/>
    <w:link w:val="1007"/>
    <w:uiPriority w:val="99"/>
    <w:pPr>
      <w:pBdr/>
      <w:spacing/>
      <w:ind/>
    </w:pPr>
  </w:style>
  <w:style w:type="paragraph" w:styleId="1009">
    <w:name w:val="Caption"/>
    <w:basedOn w:val="1030"/>
    <w:next w:val="103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10">
    <w:name w:val="footnote text"/>
    <w:basedOn w:val="1030"/>
    <w:link w:val="101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1">
    <w:name w:val="Footnote Text Char"/>
    <w:basedOn w:val="977"/>
    <w:link w:val="1010"/>
    <w:uiPriority w:val="99"/>
    <w:semiHidden/>
    <w:pPr>
      <w:pBdr/>
      <w:spacing/>
      <w:ind/>
    </w:pPr>
    <w:rPr>
      <w:sz w:val="20"/>
      <w:szCs w:val="20"/>
    </w:rPr>
  </w:style>
  <w:style w:type="character" w:styleId="1012">
    <w:name w:val="footnote reference"/>
    <w:basedOn w:val="977"/>
    <w:uiPriority w:val="99"/>
    <w:semiHidden/>
    <w:unhideWhenUsed/>
    <w:pPr>
      <w:pBdr/>
      <w:spacing/>
      <w:ind/>
    </w:pPr>
    <w:rPr>
      <w:vertAlign w:val="superscript"/>
    </w:rPr>
  </w:style>
  <w:style w:type="paragraph" w:styleId="1013">
    <w:name w:val="endnote text"/>
    <w:basedOn w:val="1030"/>
    <w:link w:val="101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4">
    <w:name w:val="Endnote Text Char"/>
    <w:basedOn w:val="977"/>
    <w:link w:val="1013"/>
    <w:uiPriority w:val="99"/>
    <w:semiHidden/>
    <w:pPr>
      <w:pBdr/>
      <w:spacing/>
      <w:ind/>
    </w:pPr>
    <w:rPr>
      <w:sz w:val="20"/>
      <w:szCs w:val="20"/>
    </w:rPr>
  </w:style>
  <w:style w:type="character" w:styleId="1015">
    <w:name w:val="endnote reference"/>
    <w:basedOn w:val="977"/>
    <w:uiPriority w:val="99"/>
    <w:semiHidden/>
    <w:unhideWhenUsed/>
    <w:pPr>
      <w:pBdr/>
      <w:spacing/>
      <w:ind/>
    </w:pPr>
    <w:rPr>
      <w:vertAlign w:val="superscript"/>
    </w:rPr>
  </w:style>
  <w:style w:type="character" w:styleId="1016">
    <w:name w:val="Hyperlink"/>
    <w:basedOn w:val="97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17">
    <w:name w:val="FollowedHyperlink"/>
    <w:basedOn w:val="9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8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1019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1020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1021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1022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1023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1024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1025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1026">
    <w:name w:val="toc 9"/>
    <w:basedOn w:val="1030"/>
    <w:next w:val="1030"/>
    <w:uiPriority w:val="39"/>
    <w:unhideWhenUsed/>
    <w:pPr>
      <w:pBdr/>
      <w:spacing w:after="100"/>
      <w:ind w:left="1760"/>
    </w:pPr>
  </w:style>
  <w:style w:type="character" w:styleId="1027">
    <w:name w:val="Placeholder Text"/>
    <w:basedOn w:val="977"/>
    <w:uiPriority w:val="99"/>
    <w:semiHidden/>
    <w:pPr>
      <w:pBdr/>
      <w:spacing/>
      <w:ind/>
    </w:pPr>
    <w:rPr>
      <w:color w:val="666666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next w:val="1030"/>
    <w:link w:val="1030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1031">
    <w:name w:val="Основной шрифт абзаца"/>
    <w:next w:val="1031"/>
    <w:link w:val="1030"/>
    <w:uiPriority w:val="1"/>
    <w:unhideWhenUsed/>
    <w:pPr>
      <w:pBdr/>
      <w:spacing/>
      <w:ind/>
    </w:pPr>
  </w:style>
  <w:style w:type="table" w:styleId="1032">
    <w:name w:val="Обычная таблица"/>
    <w:next w:val="1032"/>
    <w:link w:val="1030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>
    <w:name w:val="Нет списка"/>
    <w:next w:val="1033"/>
    <w:link w:val="1030"/>
    <w:uiPriority w:val="99"/>
    <w:semiHidden/>
    <w:unhideWhenUsed/>
    <w:pPr>
      <w:pBdr/>
      <w:spacing/>
      <w:ind/>
    </w:pPr>
  </w:style>
  <w:style w:type="paragraph" w:styleId="1034">
    <w:name w:val="Абзац списка"/>
    <w:basedOn w:val="1030"/>
    <w:next w:val="1034"/>
    <w:link w:val="1030"/>
    <w:uiPriority w:val="34"/>
    <w:qFormat/>
    <w:pPr>
      <w:pBdr/>
      <w:spacing/>
      <w:ind w:left="720"/>
      <w:contextualSpacing w:val="true"/>
    </w:pPr>
  </w:style>
  <w:style w:type="table" w:styleId="1035">
    <w:name w:val="Сетка таблицы"/>
    <w:basedOn w:val="1032"/>
    <w:next w:val="1035"/>
    <w:link w:val="1030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6">
    <w:name w:val="ConsPlusNormal"/>
    <w:next w:val="1036"/>
    <w:link w:val="1030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037">
    <w:name w:val="Верхний колонтитул"/>
    <w:basedOn w:val="1030"/>
    <w:next w:val="1037"/>
    <w:link w:val="103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1038">
    <w:name w:val="Верхний колонтитул Знак"/>
    <w:next w:val="1038"/>
    <w:link w:val="1037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1039">
    <w:name w:val="Нижний колонтитул"/>
    <w:basedOn w:val="1030"/>
    <w:next w:val="1039"/>
    <w:link w:val="104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40">
    <w:name w:val="Нижний колонтитул Знак"/>
    <w:basedOn w:val="1031"/>
    <w:next w:val="1040"/>
    <w:link w:val="1039"/>
    <w:uiPriority w:val="99"/>
    <w:pPr>
      <w:pBdr/>
      <w:spacing/>
      <w:ind/>
    </w:pPr>
  </w:style>
  <w:style w:type="paragraph" w:styleId="1041">
    <w:name w:val="Текст выноски"/>
    <w:basedOn w:val="1030"/>
    <w:next w:val="1041"/>
    <w:link w:val="1042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1042">
    <w:name w:val="Текст выноски Знак"/>
    <w:next w:val="1042"/>
    <w:link w:val="104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43">
    <w:name w:val="ConsPlusCell"/>
    <w:next w:val="1043"/>
    <w:link w:val="1030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1044">
    <w:name w:val="ConsPlusNonformat"/>
    <w:next w:val="1044"/>
    <w:link w:val="1030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18</cp:revision>
  <dcterms:created xsi:type="dcterms:W3CDTF">2024-08-27T12:27:00Z</dcterms:created>
  <dcterms:modified xsi:type="dcterms:W3CDTF">2025-08-18T08:05:56Z</dcterms:modified>
  <cp:version>1048576</cp:version>
</cp:coreProperties>
</file>