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3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tabs>
          <w:tab w:val="left" w:leader="none" w:pos="0"/>
          <w:tab w:val="clear" w:leader="none" w:pos="708"/>
          <w:tab w:val="left" w:leader="none" w:pos="4253"/>
          <w:tab w:val="left" w:leader="none" w:pos="4536"/>
        </w:tabs>
        <w:spacing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«____» ________ 2025</w:t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tabs>
          <w:tab w:val="left" w:leader="none" w:pos="0"/>
          <w:tab w:val="clear" w:leader="none" w:pos="708"/>
          <w:tab w:val="left" w:leader="none" w:pos="4253"/>
          <w:tab w:val="left" w:leader="none" w:pos="4536"/>
        </w:tabs>
        <w:spacing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нормативах стоимости предоставления муниципальных услуг (работ) в сфере физической культуры и спорта, используемых при формировании межбюджетных отношений в Республике Татарстан, </w:t>
      </w:r>
      <w:bookmarkStart w:id="0" w:name="_Hlk175133366"/>
      <w:r>
        <w:rPr>
          <w:sz w:val="28"/>
          <w:szCs w:val="28"/>
        </w:rPr>
        <w:t xml:space="preserve">на 2026 год и на плановый период 2027 и 2028 годов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tabs>
          <w:tab w:val="clear" w:leader="none" w:pos="708"/>
          <w:tab w:val="left" w:leader="none" w:pos="1134"/>
        </w:tabs>
        <w:spacing w:after="0" w:before="0" w:line="276" w:lineRule="auto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tabs>
          <w:tab w:val="clear" w:leader="none" w:pos="708"/>
          <w:tab w:val="left" w:leader="none" w:pos="1134"/>
        </w:tabs>
        <w:spacing w:after="0" w:before="0" w:line="276" w:lineRule="auto"/>
        <w:ind w:firstLine="709" w:left="0"/>
        <w:contextualSpacing w:val="false"/>
        <w:jc w:val="both"/>
        <w:rPr>
          <w:sz w:val="28"/>
          <w:szCs w:val="28"/>
        </w:rPr>
      </w:pPr>
      <w:r/>
      <w:bookmarkStart w:id="1" w:name="_Hlk175134428"/>
      <w:r>
        <w:rPr>
          <w:sz w:val="28"/>
          <w:szCs w:val="28"/>
        </w:rPr>
        <w:t xml:space="preserve">нормативы стоимости предоставления муниципальных услуг (работ) в сфере физической культуры и спорта, используемые при формировании межбюджетных отношений в Республике Татарстан, на 2026 год и на плановый период 2027 и 2028 годов</w:t>
      </w:r>
      <w:bookmarkEnd w:id="1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spacing w:after="0" w:before="0" w:line="276" w:lineRule="auto"/>
        <w:ind w:firstLine="709" w:left="0"/>
        <w:contextualSpacing w:val="false"/>
        <w:jc w:val="both"/>
        <w:rPr>
          <w:sz w:val="28"/>
          <w:szCs w:val="28"/>
        </w:rPr>
      </w:pPr>
      <w:r/>
      <w:bookmarkStart w:id="2" w:name="_Hlk175560687"/>
      <w:r>
        <w:rPr>
          <w:sz w:val="28"/>
          <w:szCs w:val="28"/>
        </w:rPr>
        <w:t xml:space="preserve">корректирующие (поправочные) коэффициенты к нормативам стоимости предоставления муниципальных услуг (работ) в сфере физической культуры и спорта, используемым при формировании м</w:t>
      </w:r>
      <w:r>
        <w:rPr>
          <w:sz w:val="28"/>
          <w:szCs w:val="28"/>
        </w:rPr>
        <w:t xml:space="preserve">ежбюджетных отношений в Республике Татарстан, учитывающие различия в инфраструктурной обеспеченности, влияющие на стоимость предоставления муниципальных услуг (работ) в сфере физической культуры и спорта, на 2026 год и на плановый период 2027 и 2028 годов.</w:t>
      </w:r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spacing w:after="0" w:before="0" w:line="276" w:lineRule="auto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постановление Кабинета Министров Республики Татарстан от 16.09.2024 № 799 «О нормативе стоимости предоставления </w:t>
      </w:r>
      <w:r>
        <w:rPr>
          <w:spacing w:val="-2"/>
          <w:sz w:val="28"/>
          <w:szCs w:val="28"/>
        </w:rPr>
        <w:t xml:space="preserve">муниципальных услуг (работ) в сфере физической культуры и массового спорта, используемом при формировании межбюджетных отношений в Республике Татарстан,</w:t>
      </w:r>
      <w:r>
        <w:rPr>
          <w:sz w:val="28"/>
          <w:szCs w:val="28"/>
        </w:rPr>
        <w:t xml:space="preserve"> на 2025 год и на плановый период 2026 и 2027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spacing w:after="0" w:before="0" w:line="276" w:lineRule="auto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Установить, что настоящее постановление вступает в силу с 1 января </w:t>
        <w:br/>
        <w:t xml:space="preserve">2026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 w:line="276" w:lineRule="auto"/>
        <w: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/>
        <w:jc w:val="both"/>
        <w:outlineLvl w:val="0"/>
        <w:rPr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5"/>
          <w:footerReference w:type="even" r:id="rId16"/>
          <w:footerReference w:type="first" r:id="rId17"/>
          <w:footnotePr/>
          <w:endnotePr/>
          <w:type w:val="nextPage"/>
          <w:pgSz w:h="16838" w:orient="portrait" w:w="11906"/>
          <w:pgMar w:top="765" w:right="567" w:bottom="1134" w:left="1134" w:header="708" w:footer="708" w:gutter="0"/>
          <w:pgNumType w:start="1"/>
          <w:cols w:num="1" w:sep="0" w:space="1701" w:equalWidth="1"/>
          <w:titlePg/>
        </w:sectPr>
      </w:pPr>
      <w:r>
        <w:rPr>
          <w:sz w:val="28"/>
          <w:szCs w:val="28"/>
        </w:rPr>
        <w:t xml:space="preserve">Республики Татарстан</w:t>
        <w:tab/>
        <w:t xml:space="preserve">                                                                                А.В. Песошин</w:t>
        <w:tab/>
        <w:tab/>
        <w:tab/>
        <w:tab/>
        <w:t xml:space="preserve">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right="-143"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________ 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№ 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Нормативы стоимости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муниципальных услуг (работ) в сфере физической культуры и спорта, используемые при формировании межбюджетных отношений в Республике Татарстан, на 2026 год и на плановый период 2027 и 2028 годов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tbl>
      <w:tblPr>
        <w:tblInd w:w="0" w:type="dxa"/>
        <w:tblW w:w="10195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4956"/>
        <w:gridCol w:w="1843"/>
        <w:gridCol w:w="1700"/>
        <w:gridCol w:w="169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vMerge w:val="restart"/>
            <w:textDirection w:val="lrTb"/>
            <w:noWrap w:val="false"/>
          </w:tcPr>
          <w:p>
            <w:pPr>
              <w:pStyle w:val="973"/>
              <w:widowControl w:val="true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Наименование норматива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9" w:type="dxa"/>
            <w:textDirection w:val="lrTb"/>
            <w:noWrap w:val="false"/>
          </w:tcPr>
          <w:p>
            <w:pPr>
              <w:pStyle w:val="973"/>
              <w:widowControl w:val="true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Норматив на одного жителя муниципального образования Республики Татарстан,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vMerge w:val="continue"/>
            <w:textDirection w:val="lrTb"/>
            <w:noWrap w:val="false"/>
          </w:tcPr>
          <w:p>
            <w:pPr>
              <w:pStyle w:val="973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3"/>
              <w:widowControl w:val="true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973"/>
              <w:widowControl w:val="true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pStyle w:val="973"/>
              <w:widowControl w:val="true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textDirection w:val="lrTb"/>
            <w:noWrap w:val="false"/>
          </w:tcPr>
          <w:p>
            <w:pPr>
              <w:pStyle w:val="973"/>
              <w:widowControl w:val="true"/>
              <w:numPr>
                <w:ilvl w:val="0"/>
                <w:numId w:val="0"/>
              </w:numPr>
              <w:pBdr/>
              <w:spacing w:after="0" w:before="0"/>
              <w:ind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Норматив стоимости предоставления муниципальных услуг (работ) в сфере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3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2077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973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2297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pStyle w:val="973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2497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3"/>
        <w:numPr>
          <w:ilvl w:val="0"/>
          <w:numId w:val="0"/>
        </w:numPr>
        <w:pBdr/>
        <w:spacing w:line="264" w:lineRule="auto"/>
        <w: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/>
        <w:rPr>
          <w:sz w:val="28"/>
          <w:szCs w:val="28"/>
        </w:rPr>
        <w:sectPr>
          <w:headerReference w:type="default" r:id="rId11"/>
          <w:headerReference w:type="first" r:id="rId12"/>
          <w:footerReference w:type="default" r:id="rId18"/>
          <w:footerReference w:type="first" r:id="rId19"/>
          <w:footnotePr/>
          <w:endnotePr/>
          <w:type w:val="nextPage"/>
          <w:pgSz w:h="16838" w:orient="portrait" w:w="11906"/>
          <w:pgMar w:top="765" w:right="567" w:bottom="1134" w:left="1134" w:header="708" w:footer="708" w:gutter="0"/>
          <w:pgNumType w:start="1"/>
          <w:cols w:num="1" w:sep="0" w:space="1701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 w:right="-143"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________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spacing w:after="0" w:before="0"/>
        <w:ind w:lef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(поправочные) коэффициенты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spacing w:after="0" w:before="0"/>
        <w:ind w:lef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нормативам стоимости предоставления муниципальных услуг (работ) в сфере физической культуры и спорта, используемым при формировании ме</w:t>
      </w:r>
      <w:r>
        <w:rPr>
          <w:sz w:val="28"/>
          <w:szCs w:val="28"/>
        </w:rPr>
        <w:t xml:space="preserve">жбюджетных отношений в Республике Татарстан,  учитывающие различия в инфраструктурной обеспеченности, влияющие на стоимость предоставления муниципальных услуг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spacing w:after="0" w:before="0"/>
        <w:ind w:lef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(работ) в сфере физической культуры и  спорта, на 2026 год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spacing w:after="0" w:before="0"/>
        <w:ind w:lef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 плановый период </w:t>
      </w:r>
      <w:r>
        <w:rPr>
          <w:sz w:val="28"/>
          <w:szCs w:val="28"/>
        </w:rPr>
        <w:t xml:space="preserve">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spacing w:after="0" w:before="0" w:line="264" w:lineRule="auto"/>
        <w:ind w:firstLine="709" w:lef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5" w:type="dxa"/>
        <w:tblW w:w="10157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529"/>
        <w:gridCol w:w="1799"/>
        <w:gridCol w:w="1418"/>
        <w:gridCol w:w="1411"/>
      </w:tblGrid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коэффициента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9" w:type="dxa"/>
            <w:vMerge w:val="continue"/>
            <w:textDirection w:val="lrTb"/>
            <w:noWrap w:val="false"/>
          </w:tcPr>
          <w:p>
            <w:pPr>
              <w:pStyle w:val="973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99" w:type="dxa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3"/>
        <w:pBdr/>
        <w:spacing w:line="12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-5" w:type="dxa"/>
        <w:tblW w:w="10167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528"/>
        <w:gridCol w:w="1809"/>
        <w:gridCol w:w="1418"/>
        <w:gridCol w:w="1412"/>
      </w:tblGrid>
      <w:tr>
        <w:trPr>
          <w:trHeight w:val="23"/>
          <w:tblHeader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Агрызский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0,98673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0,99468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0,99916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Азнакаевский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1,23100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1,24152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1,24744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Аксубаевский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1,22407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1,24905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1,27144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Актанышский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2,08773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2,09057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2,11820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2,12638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2,14077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2,14677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Алькеевский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1,30280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1,29982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1,30450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Альметьевский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0,97697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0,97397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0,97020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Апастовский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2,53330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2,55701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2,58368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1,09527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1,10670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1,11887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Атнинский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1,75232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1,76237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1,76939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Бавлинский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1,75500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1,77715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1,79181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Балтасинский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0,96046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0,96548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0,97083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Бугульминский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1,68408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1,71424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1,73083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1,78356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1,79129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1,80709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Верхнеуслонский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1,24781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1,23509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1,21077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Высокогорский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0,70847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0,70588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0,70561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Дрожжановский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1,34430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1,37528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1,40044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Елабужский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1,74226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1,74372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1,73446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1,75317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1,77248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1,79467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Зеленодольский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0,82800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0,82919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0,83117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Кайбицкий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1,62387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1,65972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1,68359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Камско-Устьинский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2,14461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2,16153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2,18171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Кукморский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1,06000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1,06410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1,06658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Лаишевский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0,72361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0,70625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0,69057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Лениногорский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1,33773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1,35595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1,37451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Мамадышский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1,61466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1,61069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1,60510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Менделеевский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2,15695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2,19344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2,21815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Мензелинский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2,25187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2,26497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2,27050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Муслюмовский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1,68624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1,70244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1,71925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Нижнекамский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0,74175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0,74147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0,74232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Новошешминский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1,68332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1,74243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1,80089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Нурлатский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1,18818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1,20173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1,21426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Пестречинский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0,72022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0,71658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0,71740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Рыбно-Слободский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1,52565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1,55623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1,58024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Сабинский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4,01789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4,00997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3,99576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Сармановский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2,23091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2,25117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2,25903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Спасский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1,40611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1,41332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1,41889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Тетюшский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1,86035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1,88751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1,90632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Тукаевский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0,51845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0,51984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0,51970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Тюлячинский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2,36821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2,39886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2,40325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Черемшанский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2,09970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2,11596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2,12598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Чистопольский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0,99268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0,99828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1,00476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Ютазинский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1,35616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1,36848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1,37412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г.Набережные Челны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0,81101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0,81306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0,81549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г.Казань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0,66960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0,66349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bottom"/>
            <w:textDirection w:val="lrTb"/>
            <w:noWrap w:val="false"/>
          </w:tcPr>
          <w:p>
            <w:pPr>
              <w:pStyle w:val="973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0,65980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73"/>
        <w:numPr>
          <w:ilvl w:val="0"/>
          <w:numId w:val="0"/>
        </w:numPr>
        <w:pBdr/>
        <w:spacing w:line="264" w:lineRule="auto"/>
        <w: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 w:line="264" w:lineRule="auto"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</w:t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/>
        <w:ind/>
        <w:outlineLvl w:val="0"/>
        <w:rPr/>
        <w:sectPr>
          <w:headerReference w:type="default" r:id="rId13"/>
          <w:headerReference w:type="first" r:id="rId14"/>
          <w:footerReference w:type="default" r:id="rId20"/>
          <w:footerReference w:type="first" r:id="rId21"/>
          <w:footnotePr/>
          <w:endnotePr/>
          <w:type w:val="nextPage"/>
          <w:pgSz w:h="16838" w:orient="portrait" w:w="11906"/>
          <w:pgMar w:top="765" w:right="567" w:bottom="1134" w:left="1134" w:header="709" w:footer="709" w:gutter="0"/>
          <w:pgNumType w:start="1"/>
          <w:cols w:num="1" w:sep="0" w:space="1701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73"/>
        <w:pBdr/>
        <w:spacing w:after="0" w:before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pBdr/>
        <w: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pBdr/>
        <w: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нормативах стоимости предоставления муниципальных услуг (работ) в сфере физической культуры и спорта, используемом при формировании межбюджетных отношений в Республике Татарстан,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pBdr/>
        <w: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2026 год и на плановый период 2027 и 2028 годов»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pBdr/>
        <w: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pBdr/>
        <w: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pBdr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Кабинета Министров Республики Татарстан «О нормативах стоимости предоставления муниципальных услуг (работ) в сфере физической культуры и спорта, используемом при формировании межбюджетных отношений в Республике Т</w:t>
      </w:r>
      <w:r>
        <w:rPr>
          <w:sz w:val="28"/>
          <w:szCs w:val="28"/>
        </w:rPr>
        <w:t xml:space="preserve">атарстан, на 2026 год и на плановый период 2027 и 2028 годов» разработан в рамках реализации Плана работы Кабинета Министров Республики Татарстан на 2025 год, утвержденного распоряжением Кабинета Министров Республики Татарстан от 23.12.2024 № 2996-р и пунк</w:t>
      </w:r>
      <w:r>
        <w:rPr>
          <w:sz w:val="28"/>
          <w:szCs w:val="28"/>
        </w:rPr>
        <w:t xml:space="preserve">та 5 постановления Кабинета Министров Республики Татарстан от 02.12.2010 № 973 «О нормативах стоимости предоставления муниципальной услуги по обеспечению условий для развития на территории муниципальных образований физической культуры и массового спорта».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Проектом постановления Кабинета Министров Республики Татарстан </w:t>
      </w:r>
      <w:r>
        <w:rPr>
          <w:sz w:val="28"/>
          <w:szCs w:val="28"/>
        </w:rPr>
        <w:t xml:space="preserve">утверждаются: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стоимости предоставления мун</w:t>
      </w:r>
      <w:r>
        <w:rPr>
          <w:sz w:val="28"/>
          <w:szCs w:val="28"/>
        </w:rPr>
        <w:t xml:space="preserve">иципальных услуг (работ) в сфере физической культуры и спорта, используемый при формировании межбюджетных отношений в Республике Татарстан, на 2026 год и на плановый период 2027 и 2028 годов на одного жителя муниципального образования Республики Татарстан;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pBdr/>
        <w:spacing w:after="0" w:before="0" w:line="264" w:lineRule="auto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(поправочные) коэффициенты к нормативу стоимости предоставления муниципальных услуг (работ) в сфере физической культуры и спорта, используемый при формировании ме</w:t>
      </w:r>
      <w:r>
        <w:rPr>
          <w:sz w:val="28"/>
          <w:szCs w:val="28"/>
        </w:rPr>
        <w:t xml:space="preserve">жбюджетных отношений в Республике Татарстан,  учитывающие различия в инфраструктурной обеспеченности, влияющие на стоимость предоставления муниципальных услуг (работ) в сфере физической культуры и  спорта на 2026 год и на плановый период 2027 и 2028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расчета стоимости предос</w:t>
      </w:r>
      <w:r>
        <w:rPr>
          <w:sz w:val="28"/>
          <w:szCs w:val="28"/>
        </w:rPr>
        <w:t xml:space="preserve">тавления муниципальной услуги по обеспечению условий для развития на территории муниципальных образований физической культуры и спорта на одного жителя Республики Татарстан, используемой при формировании межбюджетных отношений в Республике Татарстан, утвер</w:t>
      </w:r>
      <w:r>
        <w:rPr>
          <w:sz w:val="28"/>
          <w:szCs w:val="28"/>
        </w:rPr>
        <w:t xml:space="preserve">жден постановлением Кабинета Министров Республики Татарстан от 02.12.2010 № 973 «О нормативах стоимости предоставления муниципальной услуги по обеспечению условий для развития на территории муниципальных образований физической культуры и массового спорта».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 w:line="276" w:lineRule="auto"/>
        <w:ind w:right="-1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Пунктом 5 Регламента взаимодействия при формировании прогноза консолидирова</w:t>
      </w:r>
      <w:r>
        <w:rPr>
          <w:sz w:val="28"/>
          <w:szCs w:val="28"/>
          <w:highlight w:val="none"/>
        </w:rPr>
        <w:t xml:space="preserve">нного бюджета Республики Татарстан на очередной финансовый год, утвержденного распоряжением Кабинета Министров Республики Татарстан от 28.11.2011 № 2214-р, за ГБУ «ЦЭСИ РТ» и Министерством финансов Республики Татарстан закреплено внесение проектов постанов</w:t>
      </w:r>
      <w:r>
        <w:rPr>
          <w:sz w:val="28"/>
          <w:szCs w:val="28"/>
          <w:highlight w:val="none"/>
        </w:rPr>
        <w:t xml:space="preserve">лений Кабинета Министров Республики Татарстан о нормативном финансировании в Кабинет Министров Республики Татарстан и проектов муниципальных актов о нормативном финансировании в исполнительные комитеты муниципальных образований на очередной финансовый год.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3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 w:line="264" w:lineRule="auto"/>
        <w: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numPr>
          <w:ilvl w:val="0"/>
          <w:numId w:val="0"/>
        </w:numPr>
        <w:pBdr/>
        <w:spacing w:line="264" w:lineRule="auto"/>
        <w: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048" w:right="567" w:bottom="1134" w:left="1134" w:header="708" w:footer="708" w:gutter="0"/>
      <w:pgNumType w:start="1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NSimSun">
    <w:panose1 w:val="02010609030101010101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  <w:p>
    <w:pPr>
      <w:pStyle w:val="104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  <w:p>
    <w:pPr>
      <w:pStyle w:val="1048"/>
      <w:pBdr/>
      <w:spacing/>
      <w:ind/>
      <w:rPr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  <w:p>
    <w:pPr>
      <w:pStyle w:val="1048"/>
      <w:pBdr/>
      <w:spacing/>
      <w:ind/>
      <w:rPr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 w:after="0" w:before="60"/>
      <w:ind w:firstLine="0"/>
      <w:jc w:val="center"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 w:after="0" w:before="60"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 w:after="0" w:before="60"/>
      <w:ind w:firstLine="0"/>
      <w:jc w:val="center"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 w:after="0" w:before="60"/>
      <w:ind/>
      <w:rPr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 w:after="0" w:before="60"/>
      <w:ind w:firstLine="0"/>
      <w:jc w:val="center"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4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Table Grid"/>
    <w:basedOn w:val="8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Table Grid Light"/>
    <w:basedOn w:val="8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Plain Table 1"/>
    <w:basedOn w:val="8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Plain Table 2"/>
    <w:basedOn w:val="8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Plain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Plain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Plain Table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4 - Accent 1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4 - Accent 2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4 - Accent 3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4 - Accent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4 - Accent 5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 - Accent 6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5 Dark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5 Dark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4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4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4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4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4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4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5 Dark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5 Dark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&amp; 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&amp; 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 &amp; 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 &amp; 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&amp; 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&amp; 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 &amp; 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2" w:default="1">
    <w:name w:val="No List"/>
    <w:uiPriority w:val="99"/>
    <w:semiHidden/>
    <w:unhideWhenUsed/>
    <w:pPr>
      <w:pBdr/>
      <w:spacing/>
      <w:ind/>
    </w:pPr>
  </w:style>
  <w:style w:type="paragraph" w:styleId="973" w:default="1">
    <w:name w:val="Normal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NSimSun" w:cs="Lucida Sans"/>
      <w:color w:val="auto"/>
      <w:sz w:val="24"/>
      <w:szCs w:val="24"/>
      <w:lang w:val="ru-RU" w:eastAsia="ru-RU" w:bidi="ar-SA"/>
    </w:rPr>
  </w:style>
  <w:style w:type="paragraph" w:styleId="974">
    <w:name w:val="Heading 1"/>
    <w:basedOn w:val="973"/>
    <w:next w:val="973"/>
    <w:link w:val="983"/>
    <w:qFormat/>
    <w:pPr>
      <w:keepNext w:val="true"/>
      <w:keepLines w:val="true"/>
      <w:numPr>
        <w:ilvl w:val="0"/>
        <w:numId w:val="0"/>
      </w:numPr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75">
    <w:name w:val="Heading 2"/>
    <w:basedOn w:val="973"/>
    <w:next w:val="973"/>
    <w:link w:val="984"/>
    <w:qFormat/>
    <w:pPr>
      <w:keepNext w:val="true"/>
      <w:keepLines w:val="true"/>
      <w:numPr>
        <w:ilvl w:val="0"/>
        <w:numId w:val="0"/>
      </w:numPr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76">
    <w:name w:val="Heading 3"/>
    <w:basedOn w:val="973"/>
    <w:next w:val="973"/>
    <w:link w:val="985"/>
    <w:qFormat/>
    <w:pPr>
      <w:keepNext w:val="true"/>
      <w:keepLines w:val="true"/>
      <w:numPr>
        <w:ilvl w:val="0"/>
        <w:numId w:val="0"/>
      </w:numPr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77">
    <w:name w:val="Heading 4"/>
    <w:basedOn w:val="973"/>
    <w:next w:val="973"/>
    <w:link w:val="986"/>
    <w:qFormat/>
    <w:pPr>
      <w:keepNext w:val="true"/>
      <w:keepLines w:val="true"/>
      <w:numPr>
        <w:ilvl w:val="0"/>
        <w:numId w:val="0"/>
      </w:numPr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78">
    <w:name w:val="Heading 5"/>
    <w:basedOn w:val="973"/>
    <w:next w:val="973"/>
    <w:link w:val="987"/>
    <w:qFormat/>
    <w:pPr>
      <w:keepNext w:val="true"/>
      <w:keepLines w:val="true"/>
      <w:numPr>
        <w:ilvl w:val="0"/>
        <w:numId w:val="0"/>
      </w:numPr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79">
    <w:name w:val="Heading 6"/>
    <w:basedOn w:val="973"/>
    <w:next w:val="973"/>
    <w:link w:val="988"/>
    <w:qFormat/>
    <w:pPr>
      <w:keepNext w:val="true"/>
      <w:keepLines w:val="true"/>
      <w:numPr>
        <w:ilvl w:val="0"/>
        <w:numId w:val="0"/>
      </w:numPr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dark1" w:themeTint="A6"/>
    </w:rPr>
  </w:style>
  <w:style w:type="paragraph" w:styleId="980">
    <w:name w:val="Heading 7"/>
    <w:basedOn w:val="973"/>
    <w:next w:val="973"/>
    <w:link w:val="989"/>
    <w:qFormat/>
    <w:pPr>
      <w:keepNext w:val="true"/>
      <w:keepLines w:val="true"/>
      <w:numPr>
        <w:ilvl w:val="0"/>
        <w:numId w:val="0"/>
      </w:numPr>
      <w:pBdr/>
      <w:spacing w:after="0" w:before="40"/>
      <w:ind/>
      <w:outlineLvl w:val="6"/>
    </w:pPr>
    <w:rPr>
      <w:rFonts w:ascii="Arial" w:hAnsi="Arial" w:eastAsia="Arial" w:cs="Arial"/>
      <w:color w:val="595959" w:themeColor="dark1" w:themeTint="A6"/>
    </w:rPr>
  </w:style>
  <w:style w:type="paragraph" w:styleId="981">
    <w:name w:val="Heading 8"/>
    <w:basedOn w:val="973"/>
    <w:next w:val="973"/>
    <w:link w:val="990"/>
    <w:qFormat/>
    <w:pPr>
      <w:keepNext w:val="true"/>
      <w:keepLines w:val="true"/>
      <w:numPr>
        <w:ilvl w:val="0"/>
        <w:numId w:val="0"/>
      </w:numPr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dark1" w:themeTint="D8"/>
    </w:rPr>
  </w:style>
  <w:style w:type="paragraph" w:styleId="982">
    <w:name w:val="Heading 9"/>
    <w:basedOn w:val="973"/>
    <w:next w:val="973"/>
    <w:link w:val="991"/>
    <w:qFormat/>
    <w:pPr>
      <w:keepNext w:val="true"/>
      <w:keepLines w:val="true"/>
      <w:numPr>
        <w:ilvl w:val="0"/>
        <w:numId w:val="0"/>
      </w:numPr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dark1" w:themeTint="D8"/>
    </w:rPr>
  </w:style>
  <w:style w:type="character" w:styleId="983">
    <w:name w:val="Heading 1 Char"/>
    <w:basedOn w:val="1012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4">
    <w:name w:val="Heading 2 Char"/>
    <w:basedOn w:val="1012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5">
    <w:name w:val="Heading 3 Char"/>
    <w:basedOn w:val="1012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86">
    <w:name w:val="Heading 4 Char"/>
    <w:basedOn w:val="1012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87">
    <w:name w:val="Heading 5 Char"/>
    <w:basedOn w:val="1012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88">
    <w:name w:val="Heading 6 Char"/>
    <w:basedOn w:val="1012"/>
    <w:qFormat/>
    <w:pPr>
      <w:pBdr/>
      <w:spacing/>
      <w:ind/>
    </w:pPr>
    <w:rPr>
      <w:rFonts w:ascii="Arial" w:hAnsi="Arial" w:eastAsia="Arial" w:cs="Arial"/>
      <w:i/>
      <w:iCs/>
      <w:color w:val="595959" w:themeColor="dark1" w:themeTint="A6"/>
    </w:rPr>
  </w:style>
  <w:style w:type="character" w:styleId="989">
    <w:name w:val="Heading 7 Char"/>
    <w:basedOn w:val="1012"/>
    <w:qFormat/>
    <w:pPr>
      <w:pBdr/>
      <w:spacing/>
      <w:ind/>
    </w:pPr>
    <w:rPr>
      <w:rFonts w:ascii="Arial" w:hAnsi="Arial" w:eastAsia="Arial" w:cs="Arial"/>
      <w:color w:val="595959" w:themeColor="dark1" w:themeTint="A6"/>
    </w:rPr>
  </w:style>
  <w:style w:type="character" w:styleId="990">
    <w:name w:val="Heading 8 Char"/>
    <w:basedOn w:val="1012"/>
    <w:qFormat/>
    <w:pPr>
      <w:pBdr/>
      <w:spacing/>
      <w:ind/>
    </w:pPr>
    <w:rPr>
      <w:rFonts w:ascii="Arial" w:hAnsi="Arial" w:eastAsia="Arial" w:cs="Arial"/>
      <w:i/>
      <w:iCs/>
      <w:color w:val="272727" w:themeColor="dark1" w:themeTint="D8"/>
    </w:rPr>
  </w:style>
  <w:style w:type="character" w:styleId="991">
    <w:name w:val="Heading 9 Char"/>
    <w:basedOn w:val="1012"/>
    <w:qFormat/>
    <w:pPr>
      <w:pBdr/>
      <w:spacing/>
      <w:ind/>
    </w:pPr>
    <w:rPr>
      <w:rFonts w:ascii="Arial" w:hAnsi="Arial" w:eastAsia="Arial" w:cs="Arial"/>
      <w:i/>
      <w:iCs/>
      <w:color w:val="272727" w:themeColor="dark1" w:themeTint="D8"/>
    </w:rPr>
  </w:style>
  <w:style w:type="character" w:styleId="992">
    <w:name w:val="Title Char"/>
    <w:basedOn w:val="1012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93">
    <w:name w:val="Subtitle Char"/>
    <w:basedOn w:val="1012"/>
    <w:qFormat/>
    <w:pPr>
      <w:pBdr/>
      <w:spacing/>
      <w:ind/>
    </w:pPr>
    <w:rPr>
      <w:color w:val="595959" w:themeColor="dark1" w:themeTint="A6"/>
      <w:spacing w:val="15"/>
      <w:sz w:val="28"/>
      <w:szCs w:val="28"/>
    </w:rPr>
  </w:style>
  <w:style w:type="character" w:styleId="994">
    <w:name w:val="Quote Char"/>
    <w:basedOn w:val="1012"/>
    <w:link w:val="1027"/>
    <w:qFormat/>
    <w:pPr>
      <w:pBdr/>
      <w:spacing/>
      <w:ind/>
    </w:pPr>
    <w:rPr>
      <w:i/>
      <w:iCs/>
      <w:color w:val="404040" w:themeColor="dark1" w:themeTint="BF"/>
    </w:rPr>
  </w:style>
  <w:style w:type="character" w:styleId="995">
    <w:name w:val="Intense Emphasis"/>
    <w:basedOn w:val="1012"/>
    <w:qFormat/>
    <w:pPr>
      <w:pBdr/>
      <w:spacing/>
      <w:ind/>
    </w:pPr>
    <w:rPr>
      <w:i/>
      <w:iCs/>
      <w:color w:val="0f4761" w:themeColor="accent1" w:themeShade="BF"/>
    </w:rPr>
  </w:style>
  <w:style w:type="character" w:styleId="996">
    <w:name w:val="Intense Quote Char"/>
    <w:basedOn w:val="1012"/>
    <w:link w:val="1028"/>
    <w:qFormat/>
    <w:pPr>
      <w:pBdr/>
      <w:spacing/>
      <w:ind/>
    </w:pPr>
    <w:rPr>
      <w:i/>
      <w:iCs/>
      <w:color w:val="0f4761" w:themeColor="accent1" w:themeShade="BF"/>
    </w:rPr>
  </w:style>
  <w:style w:type="character" w:styleId="997">
    <w:name w:val="Intense Reference"/>
    <w:basedOn w:val="101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98">
    <w:name w:val="Subtle Emphasis"/>
    <w:basedOn w:val="1012"/>
    <w:qFormat/>
    <w:pPr>
      <w:pBdr/>
      <w:spacing/>
      <w:ind/>
    </w:pPr>
    <w:rPr>
      <w:i/>
      <w:iCs/>
      <w:color w:val="404040" w:themeColor="dark1" w:themeTint="BF"/>
    </w:rPr>
  </w:style>
  <w:style w:type="character" w:styleId="999">
    <w:name w:val="Emphasis"/>
    <w:basedOn w:val="1012"/>
    <w:qFormat/>
    <w:pPr>
      <w:pBdr/>
      <w:spacing/>
      <w:ind/>
    </w:pPr>
    <w:rPr>
      <w:i/>
      <w:iCs/>
    </w:rPr>
  </w:style>
  <w:style w:type="character" w:styleId="1000">
    <w:name w:val="Strong"/>
    <w:basedOn w:val="1012"/>
    <w:qFormat/>
    <w:pPr>
      <w:pBdr/>
      <w:spacing/>
      <w:ind/>
    </w:pPr>
    <w:rPr>
      <w:b/>
      <w:bCs/>
    </w:rPr>
  </w:style>
  <w:style w:type="character" w:styleId="1001">
    <w:name w:val="Subtle Reference"/>
    <w:basedOn w:val="1012"/>
    <w:qFormat/>
    <w:pPr>
      <w:pBdr/>
      <w:spacing/>
      <w:ind/>
    </w:pPr>
    <w:rPr>
      <w:smallCaps/>
      <w:color w:val="5a5a5a" w:themeColor="dark1" w:themeTint="A5"/>
    </w:rPr>
  </w:style>
  <w:style w:type="character" w:styleId="1002">
    <w:name w:val="Book Title"/>
    <w:basedOn w:val="1012"/>
    <w:qFormat/>
    <w:pPr>
      <w:pBdr/>
      <w:spacing/>
      <w:ind/>
    </w:pPr>
    <w:rPr>
      <w:b/>
      <w:bCs/>
      <w:i/>
      <w:iCs/>
      <w:spacing w:val="5"/>
    </w:rPr>
  </w:style>
  <w:style w:type="character" w:styleId="1003">
    <w:name w:val="Header Char"/>
    <w:basedOn w:val="1012"/>
    <w:qFormat/>
    <w:pPr>
      <w:pBdr/>
      <w:spacing/>
      <w:ind/>
    </w:pPr>
  </w:style>
  <w:style w:type="character" w:styleId="1004">
    <w:name w:val="Footer Char"/>
    <w:basedOn w:val="1012"/>
    <w:qFormat/>
    <w:pPr>
      <w:pBdr/>
      <w:spacing/>
      <w:ind/>
    </w:pPr>
  </w:style>
  <w:style w:type="character" w:styleId="1005">
    <w:name w:val="Footnote Text Char"/>
    <w:basedOn w:val="1012"/>
    <w:qFormat/>
    <w:pPr>
      <w:pBdr/>
      <w:spacing/>
      <w:ind/>
    </w:pPr>
    <w:rPr>
      <w:sz w:val="20"/>
      <w:szCs w:val="20"/>
    </w:rPr>
  </w:style>
  <w:style w:type="character" w:styleId="1006">
    <w:name w:val="Символ сноски"/>
    <w:basedOn w:val="1012"/>
    <w:qFormat/>
    <w:pPr>
      <w:pBdr/>
      <w:spacing/>
      <w:ind/>
    </w:pPr>
    <w:rPr>
      <w:vertAlign w:val="superscript"/>
    </w:rPr>
  </w:style>
  <w:style w:type="character" w:styleId="1007">
    <w:name w:val="footnote reference"/>
    <w:pPr>
      <w:pBdr/>
      <w:spacing/>
      <w:ind/>
    </w:pPr>
    <w:rPr>
      <w:vertAlign w:val="superscript"/>
    </w:rPr>
  </w:style>
  <w:style w:type="character" w:styleId="1008">
    <w:name w:val="Endnote Text Char"/>
    <w:basedOn w:val="1012"/>
    <w:qFormat/>
    <w:pPr>
      <w:pBdr/>
      <w:spacing/>
      <w:ind/>
    </w:pPr>
    <w:rPr>
      <w:sz w:val="20"/>
      <w:szCs w:val="20"/>
    </w:rPr>
  </w:style>
  <w:style w:type="character" w:styleId="1009">
    <w:name w:val="Символ концевой сноски"/>
    <w:basedOn w:val="1012"/>
    <w:qFormat/>
    <w:pPr>
      <w:pBdr/>
      <w:spacing/>
      <w:ind/>
    </w:pPr>
    <w:rPr>
      <w:vertAlign w:val="superscript"/>
    </w:rPr>
  </w:style>
  <w:style w:type="character" w:styleId="1010">
    <w:name w:val="endnote reference"/>
    <w:pPr>
      <w:pBdr/>
      <w:spacing/>
      <w:ind/>
    </w:pPr>
    <w:rPr>
      <w:vertAlign w:val="superscript"/>
    </w:rPr>
  </w:style>
  <w:style w:type="character" w:styleId="1011">
    <w:name w:val="Placeholder Text"/>
    <w:basedOn w:val="1012"/>
    <w:qFormat/>
    <w:pPr>
      <w:pBdr/>
      <w:spacing/>
      <w:ind/>
    </w:pPr>
    <w:rPr>
      <w:color w:val="666666"/>
    </w:rPr>
  </w:style>
  <w:style w:type="character" w:styleId="1012" w:default="1">
    <w:name w:val="Default Paragraph Font"/>
    <w:qFormat/>
    <w:pPr>
      <w:pBdr/>
      <w:spacing/>
      <w:ind/>
    </w:pPr>
  </w:style>
  <w:style w:type="character" w:styleId="1013">
    <w:name w:val="page number"/>
    <w:basedOn w:val="1012"/>
    <w:pPr>
      <w:pBdr/>
      <w:spacing/>
      <w:ind/>
    </w:pPr>
  </w:style>
  <w:style w:type="character" w:styleId="1014">
    <w:name w:val="Основной текст с отступом Знак"/>
    <w:qFormat/>
    <w:pPr>
      <w:pBdr/>
      <w:spacing/>
      <w:ind/>
    </w:pPr>
    <w:rPr>
      <w:sz w:val="28"/>
      <w:szCs w:val="28"/>
    </w:rPr>
  </w:style>
  <w:style w:type="character" w:styleId="1015">
    <w:name w:val="Hyperlink"/>
    <w:pPr>
      <w:pBdr/>
      <w:spacing/>
      <w:ind/>
    </w:pPr>
    <w:rPr>
      <w:color w:val="0000ff"/>
      <w:u w:val="single"/>
    </w:rPr>
  </w:style>
  <w:style w:type="character" w:styleId="1016">
    <w:name w:val="FollowedHyperlink"/>
    <w:pPr>
      <w:pBdr/>
      <w:spacing/>
      <w:ind/>
    </w:pPr>
    <w:rPr>
      <w:color w:val="800080"/>
      <w:u w:val="single"/>
    </w:rPr>
  </w:style>
  <w:style w:type="character" w:styleId="1017">
    <w:name w:val="Нижний колонтитул Знак"/>
    <w:qFormat/>
    <w:pPr>
      <w:pBdr/>
      <w:spacing/>
      <w:ind/>
    </w:pPr>
    <w:rPr>
      <w:sz w:val="24"/>
      <w:szCs w:val="24"/>
    </w:rPr>
  </w:style>
  <w:style w:type="character" w:styleId="1018">
    <w:name w:val="Верхний колонтитул Знак"/>
    <w:qFormat/>
    <w:pPr>
      <w:pBdr/>
      <w:spacing/>
      <w:ind/>
    </w:pPr>
    <w:rPr>
      <w:sz w:val="28"/>
    </w:rPr>
  </w:style>
  <w:style w:type="character" w:styleId="1019">
    <w:name w:val="Текст выноски Знак"/>
    <w:link w:val="1071"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1020">
    <w:name w:val="Заголовок"/>
    <w:basedOn w:val="973"/>
    <w:next w:val="1021"/>
    <w:qFormat/>
    <w:pPr>
      <w:keepNext w:val="true"/>
      <w:pBdr/>
      <w:spacing w:after="120" w:before="240"/>
      <w:ind/>
    </w:pPr>
    <w:rPr>
      <w:rFonts w:ascii="PT Astra Serif" w:hAnsi="PT Astra Serif" w:eastAsia="Microsoft YaHei" w:cs="Lucida Sans"/>
      <w:sz w:val="28"/>
      <w:szCs w:val="28"/>
    </w:rPr>
  </w:style>
  <w:style w:type="paragraph" w:styleId="1021">
    <w:name w:val="Body Text"/>
    <w:basedOn w:val="973"/>
    <w:pPr>
      <w:pBdr/>
      <w:spacing w:after="140" w:before="0" w:line="276" w:lineRule="auto"/>
      <w:ind/>
    </w:pPr>
  </w:style>
  <w:style w:type="paragraph" w:styleId="1022">
    <w:name w:val="List"/>
    <w:basedOn w:val="1021"/>
    <w:pPr>
      <w:pBdr/>
      <w:spacing/>
      <w:ind/>
    </w:pPr>
    <w:rPr>
      <w:rFonts w:ascii="PT Astra Serif" w:hAnsi="PT Astra Serif" w:cs="Lucida Sans"/>
    </w:rPr>
  </w:style>
  <w:style w:type="paragraph" w:styleId="1023">
    <w:name w:val="Caption"/>
    <w:basedOn w:val="973"/>
    <w:next w:val="973"/>
    <w:qFormat/>
    <w:pPr>
      <w:pBdr/>
      <w:spacing w:after="200" w:before="0" w:line="240" w:lineRule="auto"/>
      <w:ind/>
    </w:pPr>
    <w:rPr>
      <w:i/>
      <w:iCs/>
      <w:color w:val="0e2841" w:themeColor="dark2"/>
      <w:sz w:val="18"/>
      <w:szCs w:val="18"/>
    </w:rPr>
  </w:style>
  <w:style w:type="paragraph" w:styleId="1024">
    <w:name w:val="Указатель"/>
    <w:basedOn w:val="973"/>
    <w:qFormat/>
    <w:pPr>
      <w:suppressLineNumbers w:val="true"/>
      <w:pBdr/>
      <w:spacing/>
      <w:ind/>
    </w:pPr>
    <w:rPr>
      <w:rFonts w:ascii="PT Astra Serif" w:hAnsi="PT Astra Serif" w:cs="Lucida Sans"/>
    </w:rPr>
  </w:style>
  <w:style w:type="paragraph" w:styleId="1025">
    <w:name w:val="Title"/>
    <w:basedOn w:val="973"/>
    <w:next w:val="973"/>
    <w:link w:val="992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1026">
    <w:name w:val="Subtitle"/>
    <w:basedOn w:val="973"/>
    <w:next w:val="973"/>
    <w:link w:val="993"/>
    <w:qFormat/>
    <w:pPr>
      <w:pBdr/>
      <w:spacing/>
      <w:ind/>
    </w:pPr>
    <w:rPr>
      <w:color w:val="595959" w:themeColor="dark1" w:themeTint="A6"/>
      <w:spacing w:val="15"/>
      <w:sz w:val="28"/>
      <w:szCs w:val="28"/>
    </w:rPr>
  </w:style>
  <w:style w:type="paragraph" w:styleId="1027">
    <w:name w:val="Quote"/>
    <w:basedOn w:val="973"/>
    <w:next w:val="973"/>
    <w:link w:val="994"/>
    <w:qFormat/>
    <w:pPr>
      <w:pBdr/>
      <w:spacing w:after="0" w:before="160"/>
      <w:ind/>
      <w:jc w:val="center"/>
    </w:pPr>
    <w:rPr>
      <w:i/>
      <w:iCs/>
      <w:color w:val="404040" w:themeColor="dark1" w:themeTint="BF"/>
    </w:rPr>
  </w:style>
  <w:style w:type="paragraph" w:styleId="1028">
    <w:name w:val="Intense Quote"/>
    <w:basedOn w:val="973"/>
    <w:next w:val="973"/>
    <w:link w:val="996"/>
    <w:qFormat/>
    <w:pPr>
      <w:pBdr>
        <w:top w:val="single" w:color="0f4761" w:sz="4" w:space="10"/>
        <w:bottom w:val="single" w:color="0f4761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paragraph" w:styleId="1029">
    <w:name w:val="No Spacing"/>
    <w:basedOn w:val="973"/>
    <w:qFormat/>
    <w:pPr>
      <w:pBdr/>
      <w:spacing w:after="0" w:before="0" w:line="240" w:lineRule="auto"/>
      <w:ind/>
    </w:pPr>
  </w:style>
  <w:style w:type="paragraph" w:styleId="1030">
    <w:name w:val="footnote text"/>
    <w:basedOn w:val="973"/>
    <w:link w:val="1005"/>
    <w:pPr>
      <w:pBdr/>
      <w:spacing w:after="0" w:before="0" w:line="240" w:lineRule="auto"/>
      <w:ind/>
    </w:pPr>
    <w:rPr>
      <w:sz w:val="20"/>
      <w:szCs w:val="20"/>
    </w:rPr>
  </w:style>
  <w:style w:type="paragraph" w:styleId="1031">
    <w:name w:val="endnote text"/>
    <w:basedOn w:val="973"/>
    <w:link w:val="1008"/>
    <w:pPr>
      <w:pBdr/>
      <w:spacing w:after="0" w:before="0" w:line="240" w:lineRule="auto"/>
      <w:ind/>
    </w:pPr>
    <w:rPr>
      <w:sz w:val="20"/>
      <w:szCs w:val="20"/>
    </w:rPr>
  </w:style>
  <w:style w:type="paragraph" w:styleId="1032">
    <w:name w:val="toc 1"/>
    <w:basedOn w:val="973"/>
    <w:next w:val="973"/>
    <w:pPr>
      <w:pBdr/>
      <w:spacing w:after="100" w:before="0"/>
      <w:ind/>
    </w:pPr>
  </w:style>
  <w:style w:type="paragraph" w:styleId="1033">
    <w:name w:val="toc 2"/>
    <w:basedOn w:val="973"/>
    <w:next w:val="973"/>
    <w:pPr>
      <w:pBdr/>
      <w:spacing w:after="100" w:before="0"/>
      <w:ind w:left="220"/>
    </w:pPr>
  </w:style>
  <w:style w:type="paragraph" w:styleId="1034">
    <w:name w:val="toc 3"/>
    <w:basedOn w:val="973"/>
    <w:next w:val="973"/>
    <w:pPr>
      <w:pBdr/>
      <w:spacing w:after="100" w:before="0"/>
      <w:ind w:left="440"/>
    </w:pPr>
  </w:style>
  <w:style w:type="paragraph" w:styleId="1035">
    <w:name w:val="toc 4"/>
    <w:basedOn w:val="973"/>
    <w:next w:val="973"/>
    <w:pPr>
      <w:pBdr/>
      <w:spacing w:after="100" w:before="0"/>
      <w:ind w:left="660"/>
    </w:pPr>
  </w:style>
  <w:style w:type="paragraph" w:styleId="1036">
    <w:name w:val="toc 5"/>
    <w:basedOn w:val="973"/>
    <w:next w:val="973"/>
    <w:pPr>
      <w:pBdr/>
      <w:spacing w:after="100" w:before="0"/>
      <w:ind w:left="880"/>
    </w:pPr>
  </w:style>
  <w:style w:type="paragraph" w:styleId="1037">
    <w:name w:val="toc 6"/>
    <w:basedOn w:val="973"/>
    <w:next w:val="973"/>
    <w:pPr>
      <w:pBdr/>
      <w:spacing w:after="100" w:before="0"/>
      <w:ind w:left="1100"/>
    </w:pPr>
  </w:style>
  <w:style w:type="paragraph" w:styleId="1038">
    <w:name w:val="toc 7"/>
    <w:basedOn w:val="973"/>
    <w:next w:val="973"/>
    <w:pPr>
      <w:pBdr/>
      <w:spacing w:after="100" w:before="0"/>
      <w:ind w:left="1320"/>
    </w:pPr>
  </w:style>
  <w:style w:type="paragraph" w:styleId="1039">
    <w:name w:val="toc 8"/>
    <w:basedOn w:val="973"/>
    <w:next w:val="973"/>
    <w:pPr>
      <w:pBdr/>
      <w:spacing w:after="100" w:before="0"/>
      <w:ind w:left="1540"/>
    </w:pPr>
  </w:style>
  <w:style w:type="paragraph" w:styleId="1040">
    <w:name w:val="toc 9"/>
    <w:basedOn w:val="973"/>
    <w:next w:val="973"/>
    <w:pPr>
      <w:pBdr/>
      <w:spacing w:after="100" w:before="0"/>
      <w:ind w:left="1760"/>
    </w:pPr>
  </w:style>
  <w:style w:type="paragraph" w:styleId="1041">
    <w:name w:val="index heading"/>
    <w:basedOn w:val="1020"/>
    <w:pPr>
      <w:pBdr/>
      <w:spacing/>
      <w:ind/>
    </w:pPr>
  </w:style>
  <w:style w:type="paragraph" w:styleId="1042">
    <w:name w:val="TOC Heading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ru-RU" w:eastAsia="ru-RU" w:bidi="ar-SA"/>
    </w:rPr>
  </w:style>
  <w:style w:type="paragraph" w:styleId="1043">
    <w:name w:val="table of figures"/>
    <w:basedOn w:val="973"/>
    <w:next w:val="973"/>
    <w:pPr>
      <w:pBdr/>
      <w:spacing w:after="0" w:before="0"/>
      <w:ind/>
    </w:pPr>
  </w:style>
  <w:style w:type="paragraph" w:styleId="1044">
    <w:name w:val="ConsPlusTitle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NSimSun" w:cs="Lucida Sans"/>
      <w:b/>
      <w:bCs/>
      <w:color w:val="auto"/>
      <w:sz w:val="28"/>
      <w:szCs w:val="28"/>
      <w:lang w:val="ru-RU" w:eastAsia="ru-RU" w:bidi="ar-SA"/>
    </w:rPr>
  </w:style>
  <w:style w:type="paragraph" w:styleId="1045">
    <w:name w:val="ConsPlusCell"/>
    <w:qFormat/>
    <w:pPr>
      <w:widowControl w:val="true"/>
      <w:pBdr/>
      <w:bidi w:val="false"/>
      <w:spacing w:after="0" w:before="0"/>
      <w:ind/>
      <w:jc w:val="left"/>
    </w:pPr>
    <w:rPr>
      <w:rFonts w:ascii="Arial" w:hAnsi="Arial" w:eastAsia="NSimSun" w:cs="Arial"/>
      <w:color w:val="auto"/>
      <w:sz w:val="20"/>
      <w:szCs w:val="20"/>
      <w:lang w:val="ru-RU" w:eastAsia="ru-RU" w:bidi="ar-SA"/>
    </w:rPr>
  </w:style>
  <w:style w:type="paragraph" w:styleId="1046">
    <w:name w:val="Header and Footer"/>
    <w:basedOn w:val="973"/>
    <w:qFormat/>
    <w:pPr>
      <w:pBdr/>
      <w:spacing/>
      <w:ind/>
    </w:pPr>
  </w:style>
  <w:style w:type="paragraph" w:styleId="1047">
    <w:name w:val="Header"/>
    <w:basedOn w:val="973"/>
    <w:link w:val="1018"/>
    <w:pPr>
      <w:widowControl w:val="false"/>
      <w:pBdr/>
      <w:tabs>
        <w:tab w:val="clear" w:leader="none" w:pos="708"/>
        <w:tab w:val="center" w:leader="none" w:pos="4153"/>
        <w:tab w:val="right" w:leader="none" w:pos="8306"/>
      </w:tabs>
      <w:spacing w:after="0" w:before="60" w:line="360" w:lineRule="auto"/>
      <w:ind w:firstLine="709"/>
      <w:jc w:val="both"/>
    </w:pPr>
    <w:rPr>
      <w:sz w:val="28"/>
      <w:szCs w:val="20"/>
    </w:rPr>
  </w:style>
  <w:style w:type="paragraph" w:styleId="1048">
    <w:name w:val="Footer"/>
    <w:basedOn w:val="973"/>
    <w:link w:val="1017"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1049">
    <w:name w:val="Body Text Indent"/>
    <w:basedOn w:val="973"/>
    <w:link w:val="1014"/>
    <w:pPr>
      <w:pBdr/>
      <w:spacing/>
      <w:ind w:firstLine="720"/>
      <w:jc w:val="both"/>
    </w:pPr>
    <w:rPr>
      <w:sz w:val="28"/>
      <w:szCs w:val="28"/>
    </w:rPr>
  </w:style>
  <w:style w:type="paragraph" w:styleId="1050">
    <w:name w:val="List Paragraph"/>
    <w:basedOn w:val="973"/>
    <w:qFormat/>
    <w:pPr>
      <w:pBdr/>
      <w:spacing w:after="0" w:before="0"/>
      <w:ind w:left="720"/>
      <w:contextualSpacing w:val="true"/>
    </w:pPr>
  </w:style>
  <w:style w:type="paragraph" w:styleId="1051">
    <w:name w:val="Подписание"/>
    <w:basedOn w:val="973"/>
    <w:qFormat/>
    <w:pPr>
      <w:widowControl w:val="false"/>
      <w:pBdr/>
      <w:spacing/>
      <w:ind w:firstLine="709"/>
      <w:jc w:val="both"/>
    </w:pPr>
    <w:rPr>
      <w:sz w:val="28"/>
      <w:szCs w:val="20"/>
    </w:rPr>
  </w:style>
  <w:style w:type="paragraph" w:styleId="1052">
    <w:name w:val="xl63"/>
    <w:basedOn w:val="973"/>
    <w:qFormat/>
    <w:pPr>
      <w:pBdr/>
      <w:spacing w:after="280" w:before="280"/>
      <w:ind/>
    </w:pPr>
  </w:style>
  <w:style w:type="paragraph" w:styleId="1053">
    <w:name w:val="xl64"/>
    <w:basedOn w:val="973"/>
    <w:qFormat/>
    <w:pPr>
      <w:pBdr/>
      <w:spacing w:after="280" w:before="280"/>
      <w:ind/>
      <w:jc w:val="center"/>
    </w:pPr>
  </w:style>
  <w:style w:type="paragraph" w:styleId="1054">
    <w:name w:val="xl65"/>
    <w:basedOn w:val="973"/>
    <w:qFormat/>
    <w:pPr>
      <w:pBdr/>
      <w:spacing w:after="280" w:before="280"/>
      <w:ind/>
    </w:pPr>
    <w:rPr>
      <w:b/>
      <w:bCs/>
    </w:rPr>
  </w:style>
  <w:style w:type="paragraph" w:styleId="1055">
    <w:name w:val="xl66"/>
    <w:basedOn w:val="973"/>
    <w:qFormat/>
    <w:pPr>
      <w:pBdr/>
      <w:spacing w:after="280" w:before="280"/>
      <w:ind/>
    </w:pPr>
    <w:rPr>
      <w:b/>
      <w:bCs/>
    </w:rPr>
  </w:style>
  <w:style w:type="paragraph" w:styleId="1056">
    <w:name w:val="xl67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</w:style>
  <w:style w:type="paragraph" w:styleId="1057">
    <w:name w:val="xl68"/>
    <w:basedOn w:val="973"/>
    <w:qFormat/>
    <w:pPr>
      <w:pBdr/>
      <w:spacing w:after="280" w:before="280"/>
      <w:ind/>
    </w:pPr>
  </w:style>
  <w:style w:type="paragraph" w:styleId="1058">
    <w:name w:val="xl69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</w:style>
  <w:style w:type="paragraph" w:styleId="1059">
    <w:name w:val="xl70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</w:style>
  <w:style w:type="paragraph" w:styleId="1060">
    <w:name w:val="xl71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sz w:val="16"/>
      <w:szCs w:val="16"/>
    </w:rPr>
  </w:style>
  <w:style w:type="paragraph" w:styleId="1061">
    <w:name w:val="xl72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</w:pPr>
  </w:style>
  <w:style w:type="paragraph" w:styleId="1062">
    <w:name w:val="xl73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b/>
      <w:bCs/>
    </w:rPr>
  </w:style>
  <w:style w:type="paragraph" w:styleId="1063">
    <w:name w:val="xl74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</w:style>
  <w:style w:type="paragraph" w:styleId="1064">
    <w:name w:val="xl75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</w:style>
  <w:style w:type="paragraph" w:styleId="1065">
    <w:name w:val="xl76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color w:val="ff0000"/>
    </w:rPr>
  </w:style>
  <w:style w:type="paragraph" w:styleId="1066">
    <w:name w:val="xl77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</w:pPr>
    <w:rPr>
      <w:color w:val="ff0000"/>
    </w:rPr>
  </w:style>
  <w:style w:type="paragraph" w:styleId="1067">
    <w:name w:val="xl78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</w:pPr>
    <w:rPr>
      <w:color w:val="538ed5"/>
    </w:rPr>
  </w:style>
  <w:style w:type="paragraph" w:styleId="1068">
    <w:name w:val="xl79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color w:val="538ed5"/>
    </w:rPr>
  </w:style>
  <w:style w:type="paragraph" w:styleId="1069">
    <w:name w:val="xl80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b/>
      <w:bCs/>
      <w:color w:val="ff0000"/>
    </w:rPr>
  </w:style>
  <w:style w:type="paragraph" w:styleId="1070">
    <w:name w:val="xl81"/>
    <w:basedOn w:val="973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</w:style>
  <w:style w:type="paragraph" w:styleId="1071">
    <w:name w:val="Balloon Text"/>
    <w:basedOn w:val="973"/>
    <w:link w:val="1019"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1072">
    <w:name w:val="ConsPlusNormal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NSimSun" w:cs="Lucida Sans"/>
      <w:color w:val="auto"/>
      <w:sz w:val="28"/>
      <w:szCs w:val="28"/>
      <w:lang w:val="ru-RU" w:eastAsia="ru-RU" w:bidi="ar-SA"/>
    </w:rPr>
  </w:style>
  <w:style w:type="paragraph" w:styleId="1073">
    <w:name w:val="Обычный2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ru-RU" w:eastAsia="ru-RU" w:bidi="ar-SA"/>
    </w:rPr>
  </w:style>
  <w:style w:type="paragraph" w:styleId="1074">
    <w:name w:val="Верхний колонтитул слева"/>
    <w:basedOn w:val="1047"/>
    <w:qFormat/>
    <w:pPr>
      <w:pBdr/>
      <w:spacing/>
      <w:ind/>
    </w:pPr>
  </w:style>
  <w:style w:type="paragraph" w:styleId="1075">
    <w:name w:val="Содержимое таблицы"/>
    <w:basedOn w:val="973"/>
    <w:qFormat/>
    <w:pPr>
      <w:widowControl w:val="false"/>
      <w:suppressLineNumbers w:val="true"/>
      <w:pBdr/>
      <w:spacing/>
      <w:ind/>
    </w:pPr>
  </w:style>
  <w:style w:type="paragraph" w:styleId="1076">
    <w:name w:val="Заголовок таблицы"/>
    <w:basedOn w:val="1075"/>
    <w:qFormat/>
    <w:pPr>
      <w:suppressLineNumbers w:val="true"/>
      <w:pBdr/>
      <w:spacing/>
      <w:ind/>
      <w:jc w:val="center"/>
    </w:pPr>
    <w:rPr>
      <w:b/>
      <w:bCs/>
    </w:rPr>
  </w:style>
  <w:style w:type="numbering" w:styleId="1077">
    <w:name w:val="Без списка"/>
    <w:qFormat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footer" Target="footer7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mitrofanova</dc:creator>
  <dc:description/>
  <dc:language>ru-RU</dc:language>
  <cp:revision>42</cp:revision>
  <dcterms:created xsi:type="dcterms:W3CDTF">2024-08-27T11:47:00Z</dcterms:created>
  <dcterms:modified xsi:type="dcterms:W3CDTF">2025-08-25T07:35:36Z</dcterms:modified>
</cp:coreProperties>
</file>