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1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ПОСТАНОВЛЕНИЕ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4253"/>
        </w:tabs>
        <w:spacing w:after="0" w:line="240" w:lineRule="auto"/>
        <w:ind w:right="56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«__» ____ 202</w:t>
      </w:r>
      <w:r>
        <w:rPr>
          <w:rFonts w:ascii="Times New Roman" w:hAnsi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color w:val="auto"/>
          <w:sz w:val="28"/>
          <w:szCs w:val="28"/>
        </w:rPr>
        <w:t xml:space="preserve"> г.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4253"/>
        </w:tabs>
        <w:spacing w:after="0" w:line="240" w:lineRule="auto"/>
        <w:ind w:right="56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4253"/>
        </w:tabs>
        <w:spacing w:after="0" w:line="240" w:lineRule="auto"/>
        <w:ind w:right="567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нормативных затрат государственных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учреждений молодежной политики, физической культуры и спорта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line="240" w:lineRule="auto"/>
        <w:ind w:right="425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425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851"/>
          <w:tab w:val="left" w:leader="none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1. </w:t>
      </w:r>
      <w:r>
        <w:rPr>
          <w:rFonts w:ascii="Times New Roman" w:hAnsi="Times New Roman"/>
          <w:color w:val="auto"/>
          <w:sz w:val="28"/>
          <w:szCs w:val="28"/>
        </w:rPr>
        <w:t xml:space="preserve">Утвердить прилагаемые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нормативные затраты государственных учреждений молодежной политики, физической культуры и спорта </w:t>
      </w:r>
      <w:r>
        <w:rPr>
          <w:rFonts w:ascii="Times New Roman" w:hAnsi="Times New Roman"/>
          <w:color w:val="auto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2. </w:t>
      </w:r>
      <w:r>
        <w:rPr>
          <w:rFonts w:ascii="Times New Roman" w:hAnsi="Times New Roman"/>
          <w:color w:val="auto"/>
          <w:sz w:val="28"/>
          <w:szCs w:val="28"/>
        </w:rPr>
        <w:t xml:space="preserve">Признать утратившим</w:t>
      </w:r>
      <w:r>
        <w:rPr>
          <w:rFonts w:ascii="Times New Roman" w:hAnsi="Times New Roman"/>
          <w:color w:val="auto"/>
          <w:sz w:val="28"/>
          <w:szCs w:val="28"/>
        </w:rPr>
        <w:t xml:space="preserve"> силу </w:t>
      </w:r>
      <w:r>
        <w:rPr>
          <w:rFonts w:ascii="Times New Roman" w:hAnsi="Times New Roman"/>
          <w:color w:val="auto"/>
          <w:sz w:val="28"/>
          <w:szCs w:val="28"/>
        </w:rPr>
        <w:t xml:space="preserve">постановление</w:t>
      </w:r>
      <w:r>
        <w:rPr>
          <w:rFonts w:ascii="Times New Roman" w:hAnsi="Times New Roman"/>
          <w:color w:val="auto"/>
          <w:sz w:val="28"/>
          <w:szCs w:val="28"/>
        </w:rPr>
        <w:t xml:space="preserve"> Кабинета</w:t>
      </w:r>
      <w:r>
        <w:rPr>
          <w:rFonts w:ascii="Times New Roman" w:hAnsi="Times New Roman"/>
          <w:color w:val="auto"/>
          <w:sz w:val="28"/>
          <w:szCs w:val="28"/>
        </w:rPr>
        <w:t xml:space="preserve"> Министров Республики Татарстан</w:t>
      </w:r>
      <w:r>
        <w:rPr>
          <w:rFonts w:ascii="Times New Roman" w:hAnsi="Times New Roman"/>
          <w:color w:val="auto"/>
          <w:sz w:val="28"/>
          <w:szCs w:val="28"/>
        </w:rPr>
        <w:t xml:space="preserve"> от 16.09.2024 №</w:t>
      </w:r>
      <w:r>
        <w:rPr>
          <w:rFonts w:ascii="Times New Roman" w:hAnsi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</w:rPr>
        <w:t xml:space="preserve">797 «Об утверждении нормативных затрат государственных учреждений молодежной политики, физической культуры и спорта </w:t>
      </w:r>
      <w:r>
        <w:rPr>
          <w:rFonts w:ascii="Times New Roman" w:hAnsi="Times New Roman"/>
          <w:color w:val="auto"/>
          <w:sz w:val="28"/>
          <w:szCs w:val="28"/>
        </w:rPr>
        <w:t xml:space="preserve">на 2025 год и на плановый период 2026 и 2027 годов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3. </w:t>
      </w:r>
      <w:r>
        <w:rPr>
          <w:rFonts w:ascii="Times New Roman" w:hAnsi="Times New Roman"/>
          <w:color w:val="auto"/>
          <w:sz w:val="28"/>
          <w:szCs w:val="28"/>
        </w:rPr>
        <w:t xml:space="preserve">Установить, что настоящее постановлени</w:t>
      </w:r>
      <w:r>
        <w:rPr>
          <w:rFonts w:ascii="Times New Roman" w:hAnsi="Times New Roman"/>
          <w:color w:val="auto"/>
          <w:sz w:val="28"/>
          <w:szCs w:val="28"/>
        </w:rPr>
        <w:t xml:space="preserve">е вступает в силу с 1 января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года.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76" w:lineRule="auto"/>
        <w:ind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76" w:lineRule="auto"/>
        <w:ind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Премьер-министр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33" w:lineRule="auto"/>
        <w:ind w:right="-1"/>
        <w:jc w:val="both"/>
        <w:rPr>
          <w:rFonts w:ascii="Times New Roman" w:hAnsi="Times New Roman"/>
          <w:color w:val="auto"/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566" w:bottom="709" w:left="1134" w:header="708" w:footer="708" w:gutter="0"/>
          <w:cols w:num="1" w:sep="0" w:space="708" w:equalWidth="1"/>
          <w:titlePg/>
        </w:sect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141" w:left="10915"/>
        <w:jc w:val="both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141" w:left="10915"/>
        <w:jc w:val="both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141" w:left="10915"/>
        <w:jc w:val="both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Кабинета Министров 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141" w:left="10915"/>
        <w:jc w:val="both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pBdr/>
        <w:spacing w:after="0" w:line="240" w:lineRule="auto"/>
        <w:ind w:firstLine="141" w:left="10915"/>
        <w:jc w:val="both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от _______ 20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№ _____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 w:firstLine="141" w:left="10915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 w:left="567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Нормативные затраты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 w:left="567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государственных учреждений молодежной политики,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 w:left="567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физической культуры и спорта </w:t>
      </w:r>
      <w:r>
        <w:rPr>
          <w:rFonts w:ascii="Times New Roman" w:hAnsi="Times New Roman"/>
          <w:color w:val="auto"/>
          <w:sz w:val="28"/>
          <w:szCs w:val="28"/>
        </w:rPr>
        <w:t xml:space="preserve">на 2026 </w:t>
      </w:r>
      <w:r>
        <w:rPr>
          <w:rFonts w:ascii="Times New Roman" w:hAnsi="Times New Roman"/>
          <w:color w:val="auto"/>
          <w:sz w:val="28"/>
          <w:szCs w:val="28"/>
        </w:rPr>
        <w:t xml:space="preserve">год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 w:left="567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и на плановый период 2027 и 2028 годов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284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color w:val="auto"/>
          <w:sz w:val="2"/>
          <w:szCs w:val="2"/>
        </w:rPr>
      </w:pPr>
      <w:r>
        <w:rPr>
          <w:rFonts w:ascii="Times New Roman" w:hAnsi="Times New Roman"/>
          <w:color w:val="auto"/>
          <w:sz w:val="2"/>
          <w:szCs w:val="2"/>
        </w:rPr>
      </w:r>
      <w:r>
        <w:rPr>
          <w:rFonts w:ascii="Times New Roman" w:hAnsi="Times New Roman"/>
          <w:color w:val="auto"/>
          <w:sz w:val="2"/>
          <w:szCs w:val="2"/>
        </w:rPr>
      </w:r>
      <w:r>
        <w:rPr>
          <w:rFonts w:ascii="Times New Roman" w:hAnsi="Times New Roman"/>
          <w:color w:val="auto"/>
          <w:sz w:val="2"/>
          <w:szCs w:val="2"/>
        </w:rPr>
      </w:r>
    </w:p>
    <w:tbl>
      <w:tblPr>
        <w:tblInd w:w="-147" w:type="dxa"/>
        <w:tblW w:w="15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6"/>
        <w:gridCol w:w="5698"/>
        <w:gridCol w:w="1965"/>
        <w:gridCol w:w="1965"/>
        <w:gridCol w:w="1965"/>
      </w:tblGrid>
      <w:tr>
        <w:trPr>
          <w:cantSplit/>
          <w:trHeight w:val="291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Наименование учреждения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9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Государственная работа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Нормативные затраты,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rPr>
          <w:cantSplit/>
          <w:trHeight w:val="291"/>
          <w:tblHeader/>
        </w:trPr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1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698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</w:tbl>
    <w:p>
      <w:pPr>
        <w:pBdr/>
        <w:spacing w:after="0" w:line="120" w:lineRule="auto"/>
        <w:ind/>
        <w:rPr>
          <w:rFonts w:ascii="Times New Roman" w:hAnsi="Times New Roman"/>
          <w:color w:val="auto"/>
          <w:sz w:val="2"/>
          <w:szCs w:val="2"/>
        </w:rPr>
      </w:pPr>
      <w:r>
        <w:rPr>
          <w:rFonts w:ascii="Times New Roman" w:hAnsi="Times New Roman"/>
          <w:color w:val="auto"/>
          <w:sz w:val="2"/>
          <w:szCs w:val="2"/>
        </w:rPr>
      </w:r>
      <w:r>
        <w:rPr>
          <w:rFonts w:ascii="Times New Roman" w:hAnsi="Times New Roman"/>
          <w:color w:val="auto"/>
          <w:sz w:val="2"/>
          <w:szCs w:val="2"/>
        </w:rPr>
      </w:r>
      <w:r>
        <w:rPr>
          <w:rFonts w:ascii="Times New Roman" w:hAnsi="Times New Roman"/>
          <w:color w:val="auto"/>
          <w:sz w:val="2"/>
          <w:szCs w:val="2"/>
        </w:rPr>
      </w:r>
    </w:p>
    <w:tbl>
      <w:tblPr>
        <w:tblInd w:w="-147" w:type="dxa"/>
        <w:tblW w:w="15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6"/>
        <w:gridCol w:w="5698"/>
        <w:gridCol w:w="1965"/>
        <w:gridCol w:w="1965"/>
        <w:gridCol w:w="1965"/>
      </w:tblGrid>
      <w:tr>
        <w:trPr>
          <w:cantSplit/>
          <w:trHeight w:val="25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rPr>
          <w:cantSplit/>
          <w:trHeight w:val="388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9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Учреждения Министерства по делам молодежи Республики Татарстан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</w:tr>
      <w:tr>
        <w:trPr>
          <w:cantSplit/>
          <w:trHeight w:val="202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«Молодежный центр Республики Татарстан»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88 476 186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95 630 883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103 234 634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202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58 984 124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63 753 922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68 823 090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05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«Молодежный центр «Идель»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2 687 650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2 917 320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3 169 880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257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вовлечение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молодежи в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инновационную,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1 151 850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1 250 280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1 358 520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0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по поддержке творчески одаренных детей и молодежи «Созвездие – Йолдызлык»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123 245 680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135 069 767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147 983 771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88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«Молодежный центр «Сэлэт»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проведения общественно значимых мероприятий в сфере образования, науки и молодежной политики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32 891 904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35 758 974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38 738 767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219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21 927 936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23 839 316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25 825 845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студенческих трудовых отрядов»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8 444 840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9 179 004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9 986 604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90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автономное учреждение «Республиканский центр спортивно-патриотической и допризывной подготовки молодежи «Патриот»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26 867 015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29 117 437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31 542 114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99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Merge w:val="continue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проведения общественно значимых мероприятий в сфере образования, науки и молодежной политики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11 514 435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12 478 902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13 518 049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88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молодеж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ных, инновационных и профилактических программ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«Навигатор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проведения общественно значимых мероприятий в сфере образования, науки и молодежной политики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17 479 464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19 104 681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20 886 423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36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мероприятий, направленных на профилактику асоциального и деструктивного поведения подростков и молодежи, поддержка детей и мо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лодежи, находящ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их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ся в социально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опасном положении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13 109 598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14 328 511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15 664 817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84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13 109 598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14 328 511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15 664 817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0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по организации оздоровления, отдыха и занятости детей и подростков «Лето»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деятельности специализированных (профильных) лагерей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65 966 990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71 920 334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78 160 809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«Черноморец»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деятельности специализированных (профильных) лагерей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8 861 410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9 667 134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10 491 532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7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«Республиканский центр молодежных формирований по охране общественного порядка «Форпост»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олерантности в молодежной среде,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9 148 290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10 032 942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10 999 102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автономное учреждение «Молодежный центр «Волга»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85 439 940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93 378 703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101 651 100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32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Республиканский молодежный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 центр «Костер»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и проведение олимпиад, конкурсов, мер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26 240 190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28 801 532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31 607 511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132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color w:val="auto"/>
              </w:rPr>
            </w:r>
            <w:bookmarkStart w:id="0" w:name="_Hlk105080415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Государственное автономное учреждение «Молодежный центр «Сэлэт – Ак Барс» Министерства по делам молодежи Республики Татарстан</w:t>
            </w:r>
            <w:bookmarkEnd w:id="0"/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содержание (эксплуатация) имущества, находящегося в государственной (муниципальной) собственности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86 604 680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92 304 826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98 477 996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50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109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Учреждения Министерства спорта Республики Татарстан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74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«Республиканский центр физической культуры и </w:t>
            </w:r>
            <w:r>
              <w:rPr>
                <w:rFonts w:ascii="Times New Roman" w:hAnsi="Times New Roman" w:eastAsia="Times New Roman"/>
                <w:color w:val="auto"/>
                <w:spacing w:val="-4"/>
                <w:sz w:val="28"/>
                <w:szCs w:val="28"/>
                <w:lang w:eastAsia="ru-RU"/>
              </w:rPr>
              <w:t xml:space="preserve">юношеского спорта»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  <w:t xml:space="preserve">организация и проведение олимпиад, конкурсов, меро</w:t>
            </w: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  <w:t xml:space="preserve">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9 692 865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10 621 325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11 642 410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90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  <w:t xml:space="preserve">обеспечение участия лиц, проходящих спортивную подготовку, в международных соревнованиях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745 605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817 025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895 570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97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  <w:t xml:space="preserve">обеспечение участия лиц, проходящих спортивную подготовку, в спортивных соревнованиях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745 605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817 025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895 570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5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  <w:t xml:space="preserve">организация и проведение официальных спортивных мероприятий </w:t>
            </w: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3 728 025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4 085 125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4 477 850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38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бюджетное учреждение «Дворец спорта»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38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обеспечение доступа к объектам спорта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192 924 000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210 663 100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228 546 500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38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автономное учреждение «Спортивный комплекс «Маяк»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38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обеспечение доступа к объектам спорта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65 198 400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70 829 800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76 761 200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90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1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автономное учреждение «Центр спортивной подготовки»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обеспечение участия лиц, проходящих спортивную подготовку, в международных соревнованиях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3 623 368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3 966 894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4 343 998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8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и проведение официальных спортивных мероприятий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108 701 040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119 006 820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130 319 940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5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организация и обеспечение подготовки спортивного резерва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3 623 368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3 966 894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4 343 998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83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обеспечение участия спортивных сборных команд в официальных спортивных мероприятиях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54 350 520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59 503 410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65 159 970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8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обеспечение участия лиц, проходящих спортивную подготовку, в спортивных соревнованиях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10 870 104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11 900 682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13 031 994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  <w:tr>
        <w:trPr>
          <w:cantSplit/>
          <w:trHeight w:val="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6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Государственное автономное учреждение «Деревня Универсиады»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98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1 293 200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1 367 800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  <w:t xml:space="preserve">1 428 100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 w:bidi="undefined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undefined"/>
              </w:rPr>
            </w:r>
          </w:p>
        </w:tc>
      </w:tr>
    </w:tbl>
    <w:p>
      <w:pPr>
        <w:pBdr/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/>
        <w:jc w:val="center"/>
        <w:rPr>
          <w:rFonts w:ascii="Times New Roman" w:hAnsi="Times New Roman"/>
          <w:color w:val="auto"/>
          <w:sz w:val="28"/>
          <w:szCs w:val="28"/>
        </w:rPr>
        <w:sectPr>
          <w:headerReference w:type="default" r:id="rId9"/>
          <w:footnotePr/>
          <w:endnotePr/>
          <w:type w:val="nextPage"/>
          <w:pgSz w:h="11906" w:orient="landscape" w:w="16838"/>
          <w:pgMar w:top="1134" w:right="1134" w:bottom="566" w:left="1276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color w:val="auto"/>
          <w:sz w:val="28"/>
          <w:szCs w:val="28"/>
        </w:rPr>
        <w:t xml:space="preserve">_________________________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</w:t>
      </w:r>
      <w:r>
        <w:rPr>
          <w:rFonts w:ascii="Times New Roman" w:hAnsi="Times New Roman"/>
          <w:color w:val="auto"/>
          <w:sz w:val="28"/>
          <w:szCs w:val="28"/>
        </w:rPr>
        <w:t xml:space="preserve">____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 w:after="0" w:line="240" w:lineRule="auto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Bdr/>
        <w:spacing/>
        <w:ind w:right="-1" w:left="-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«Об утверждении нормативных затрат государственных учреждений молодежной политики, физической культуры и спорта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на 2026 год и на плановый период 2027 и 2028 годов»</w:t>
      </w: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916"/>
        <w:pBdr/>
        <w:spacing w:after="0"/>
        <w:ind w:firstLine="993" w:left="-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p>
      <w:pPr>
        <w:pStyle w:val="916"/>
        <w:pBdr/>
        <w:spacing w:after="0"/>
        <w:ind w:firstLine="993" w:left="-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постановления Кабинета Министров Республики Татарстан «Об утверждении нормативных затрат государственных учреждений молодежной политики, физической культуры и спорта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2026 год и на плановый период 2027 и 2028 годов» разработан в </w:t>
      </w:r>
      <w:r>
        <w:rPr>
          <w:rFonts w:ascii="Times New Roman" w:hAnsi="Times New Roman"/>
          <w:color w:val="auto"/>
          <w:sz w:val="28"/>
          <w:szCs w:val="28"/>
        </w:rPr>
        <w:t xml:space="preserve">рамках реализации Плана работы Кабинета Министров Республики Татарстан </w:t>
      </w:r>
      <w:r>
        <w:rPr>
          <w:rFonts w:ascii="Times New Roman" w:hAnsi="Times New Roman"/>
          <w:color w:val="auto"/>
          <w:sz w:val="28"/>
          <w:szCs w:val="28"/>
        </w:rPr>
        <w:t xml:space="preserve">на 2025 год, утвержденного распоряжением Кабинета Министров Республики Татарстан от 23.12.2024 № 2996-р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Проектом постановления Кабинета Министров Республики Татарстан утверждаются нормативные затраты государственных учреждений молодежной политики, физической культуры и спорта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Пунктом 5 Регламента взаимодействия при формировании прогноза консолидированного бюджета Республики Татарстан на очередной финансовый год, утвержденного распоряжением Каби</w:t>
      </w:r>
      <w:r>
        <w:rPr>
          <w:rFonts w:ascii="Times New Roman" w:hAnsi="Times New Roman"/>
          <w:color w:val="auto"/>
          <w:sz w:val="28"/>
          <w:szCs w:val="28"/>
        </w:rPr>
        <w:t xml:space="preserve">нета Министров Республики Татарстан от 28.11.201</w:t>
      </w:r>
      <w:r>
        <w:rPr>
          <w:rFonts w:ascii="Times New Roman" w:hAnsi="Times New Roman"/>
          <w:color w:val="auto"/>
          <w:sz w:val="28"/>
          <w:szCs w:val="28"/>
        </w:rPr>
        <w:t xml:space="preserve">1 № 2214-р, за ГБУ «ЦЭСИ РТ» и Министерством финансов Республики Татарстан закреплено внесение проектов постановлений Кабинета Министров Республики Татарстан о нормативном финансировании в Кабинет Министров Республики Татарстан на очередной финансовый год.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color w:val="auto"/>
          <w14:ligatures w14:val="none"/>
        </w:rPr>
      </w:r>
      <w:r>
        <w:rPr>
          <w:rFonts w:ascii="Times New Roman" w:hAnsi="Times New Roman"/>
          <w:color w:val="auto"/>
          <w14:ligatures w14:val="none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/>
          <w:color w:val="auto"/>
          <w14:ligatures w14:val="none"/>
        </w:rPr>
      </w:r>
      <w:r>
        <w:rPr>
          <w:rFonts w:ascii="Times New Roman" w:hAnsi="Times New Roman"/>
          <w:color w:val="auto"/>
          <w14:ligatures w14:val="none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color w:val="auto"/>
          <w14:ligatures w14:val="none"/>
        </w:rPr>
      </w:r>
      <w:r>
        <w:rPr>
          <w:rFonts w:ascii="Times New Roman" w:hAnsi="Times New Roman"/>
          <w:color w:val="auto"/>
          <w14:ligatures w14:val="none"/>
        </w:rPr>
      </w:r>
    </w:p>
    <w:p>
      <w:pPr>
        <w:pStyle w:val="916"/>
        <w:pBdr/>
        <w:spacing w:after="0"/>
        <w:ind w:firstLine="709" w:left="0"/>
        <w:jc w:val="both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sectPr>
      <w:footnotePr/>
      <w:endnotePr/>
      <w:type w:val="nextPage"/>
      <w:pgSz w:h="16838" w:orient="portrait" w:w="11906"/>
      <w:pgMar w:top="1134" w:right="566" w:bottom="1276" w:left="1134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5006844"/>
      <w:docPartObj>
        <w:docPartGallery w:val="Page Numbers (Top of Page)"/>
        <w:docPartUnique w:val="true"/>
      </w:docPartObj>
      <w:rPr/>
    </w:sdtPr>
    <w:sdtContent>
      <w:p>
        <w:pPr>
          <w:pStyle w:val="917"/>
          <w:pBdr/>
          <w:spacing/>
          <w:ind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4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  <w:p>
    <w:pPr>
      <w:pStyle w:val="91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565"/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12"/>
    <w:next w:val="912"/>
    <w:link w:val="86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12"/>
    <w:next w:val="912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2"/>
    <w:next w:val="912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2"/>
    <w:next w:val="912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2"/>
    <w:next w:val="912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2"/>
    <w:next w:val="912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2"/>
    <w:next w:val="912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2"/>
    <w:next w:val="912"/>
    <w:link w:val="8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2"/>
    <w:next w:val="912"/>
    <w:link w:val="87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>
    <w:name w:val="Heading 1 Char"/>
    <w:basedOn w:val="913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5">
    <w:name w:val="Heading 2 Char"/>
    <w:basedOn w:val="913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6">
    <w:name w:val="Heading 3 Char"/>
    <w:basedOn w:val="913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7">
    <w:name w:val="Heading 4 Char"/>
    <w:basedOn w:val="913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8">
    <w:name w:val="Heading 5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9">
    <w:name w:val="Heading 6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>
    <w:name w:val="Heading 7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>
    <w:name w:val="Heading 8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9 Char"/>
    <w:basedOn w:val="913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Title"/>
    <w:basedOn w:val="912"/>
    <w:next w:val="912"/>
    <w:link w:val="87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4">
    <w:name w:val="Title Char"/>
    <w:basedOn w:val="913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5">
    <w:name w:val="Subtitle"/>
    <w:basedOn w:val="912"/>
    <w:next w:val="912"/>
    <w:link w:val="8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6">
    <w:name w:val="Subtitle Char"/>
    <w:basedOn w:val="913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7">
    <w:name w:val="Quote"/>
    <w:basedOn w:val="912"/>
    <w:next w:val="912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>
    <w:name w:val="Quote Char"/>
    <w:basedOn w:val="913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0">
    <w:name w:val="Intense Quote"/>
    <w:basedOn w:val="912"/>
    <w:next w:val="912"/>
    <w:link w:val="88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1">
    <w:name w:val="Intense Quote Char"/>
    <w:basedOn w:val="913"/>
    <w:link w:val="8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3">
    <w:name w:val="No Spacing"/>
    <w:basedOn w:val="912"/>
    <w:uiPriority w:val="1"/>
    <w:qFormat/>
    <w:pPr>
      <w:pBdr/>
      <w:spacing w:after="0" w:line="240" w:lineRule="auto"/>
      <w:ind/>
    </w:pPr>
  </w:style>
  <w:style w:type="character" w:styleId="884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3"/>
    <w:link w:val="917"/>
    <w:uiPriority w:val="99"/>
    <w:pPr>
      <w:pBdr/>
      <w:spacing/>
      <w:ind/>
    </w:pPr>
  </w:style>
  <w:style w:type="character" w:styleId="890">
    <w:name w:val="Footer Char"/>
    <w:basedOn w:val="913"/>
    <w:link w:val="919"/>
    <w:uiPriority w:val="99"/>
    <w:pPr>
      <w:pBdr/>
      <w:spacing/>
      <w:ind/>
    </w:pPr>
  </w:style>
  <w:style w:type="paragraph" w:styleId="891">
    <w:name w:val="Caption"/>
    <w:basedOn w:val="912"/>
    <w:next w:val="91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2">
    <w:name w:val="footnote text"/>
    <w:basedOn w:val="912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Footnote Text Char"/>
    <w:basedOn w:val="913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12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Endnote Text Char"/>
    <w:basedOn w:val="913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character" w:styleId="898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9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0">
    <w:name w:val="toc 1"/>
    <w:basedOn w:val="912"/>
    <w:next w:val="912"/>
    <w:uiPriority w:val="39"/>
    <w:unhideWhenUsed/>
    <w:pPr>
      <w:pBdr/>
      <w:spacing w:after="100"/>
      <w:ind/>
    </w:pPr>
  </w:style>
  <w:style w:type="paragraph" w:styleId="901">
    <w:name w:val="toc 2"/>
    <w:basedOn w:val="912"/>
    <w:next w:val="912"/>
    <w:uiPriority w:val="39"/>
    <w:unhideWhenUsed/>
    <w:pPr>
      <w:pBdr/>
      <w:spacing w:after="100"/>
      <w:ind w:left="220"/>
    </w:pPr>
  </w:style>
  <w:style w:type="paragraph" w:styleId="902">
    <w:name w:val="toc 3"/>
    <w:basedOn w:val="912"/>
    <w:next w:val="912"/>
    <w:uiPriority w:val="39"/>
    <w:unhideWhenUsed/>
    <w:pPr>
      <w:pBdr/>
      <w:spacing w:after="100"/>
      <w:ind w:left="440"/>
    </w:pPr>
  </w:style>
  <w:style w:type="paragraph" w:styleId="903">
    <w:name w:val="toc 4"/>
    <w:basedOn w:val="912"/>
    <w:next w:val="912"/>
    <w:uiPriority w:val="39"/>
    <w:unhideWhenUsed/>
    <w:pPr>
      <w:pBdr/>
      <w:spacing w:after="100"/>
      <w:ind w:left="660"/>
    </w:pPr>
  </w:style>
  <w:style w:type="paragraph" w:styleId="904">
    <w:name w:val="toc 5"/>
    <w:basedOn w:val="912"/>
    <w:next w:val="912"/>
    <w:uiPriority w:val="39"/>
    <w:unhideWhenUsed/>
    <w:pPr>
      <w:pBdr/>
      <w:spacing w:after="100"/>
      <w:ind w:left="880"/>
    </w:pPr>
  </w:style>
  <w:style w:type="paragraph" w:styleId="905">
    <w:name w:val="toc 6"/>
    <w:basedOn w:val="912"/>
    <w:next w:val="912"/>
    <w:uiPriority w:val="39"/>
    <w:unhideWhenUsed/>
    <w:pPr>
      <w:pBdr/>
      <w:spacing w:after="100"/>
      <w:ind w:left="1100"/>
    </w:pPr>
  </w:style>
  <w:style w:type="paragraph" w:styleId="906">
    <w:name w:val="toc 7"/>
    <w:basedOn w:val="912"/>
    <w:next w:val="912"/>
    <w:uiPriority w:val="39"/>
    <w:unhideWhenUsed/>
    <w:pPr>
      <w:pBdr/>
      <w:spacing w:after="100"/>
      <w:ind w:left="1320"/>
    </w:pPr>
  </w:style>
  <w:style w:type="paragraph" w:styleId="907">
    <w:name w:val="toc 8"/>
    <w:basedOn w:val="912"/>
    <w:next w:val="912"/>
    <w:uiPriority w:val="39"/>
    <w:unhideWhenUsed/>
    <w:pPr>
      <w:pBdr/>
      <w:spacing w:after="100"/>
      <w:ind w:left="1540"/>
    </w:pPr>
  </w:style>
  <w:style w:type="paragraph" w:styleId="908">
    <w:name w:val="toc 9"/>
    <w:basedOn w:val="912"/>
    <w:next w:val="912"/>
    <w:uiPriority w:val="39"/>
    <w:unhideWhenUsed/>
    <w:pPr>
      <w:pBdr/>
      <w:spacing w:after="100"/>
      <w:ind w:left="1760"/>
    </w:pPr>
  </w:style>
  <w:style w:type="character" w:styleId="909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2"/>
    <w:next w:val="912"/>
    <w:uiPriority w:val="99"/>
    <w:unhideWhenUsed/>
    <w:pPr>
      <w:pBdr/>
      <w:spacing w:after="0" w:afterAutospacing="0"/>
      <w:ind/>
    </w:pPr>
  </w:style>
  <w:style w:type="paragraph" w:styleId="912" w:default="1">
    <w:name w:val="Normal"/>
    <w:qFormat/>
    <w:pPr>
      <w:pBdr/>
      <w:spacing w:after="200" w:line="276" w:lineRule="auto"/>
      <w:ind/>
    </w:pPr>
    <w:rPr>
      <w:rFonts w:ascii="Calibri" w:hAnsi="Calibri" w:eastAsia="Calibri" w:cs="Times New Roman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paragraph" w:styleId="916">
    <w:name w:val="List Paragraph"/>
    <w:basedOn w:val="912"/>
    <w:uiPriority w:val="99"/>
    <w:qFormat/>
    <w:pPr>
      <w:pBdr/>
      <w:spacing/>
      <w:ind w:left="720"/>
      <w:contextualSpacing w:val="true"/>
    </w:pPr>
  </w:style>
  <w:style w:type="paragraph" w:styleId="917">
    <w:name w:val="Header"/>
    <w:basedOn w:val="912"/>
    <w:link w:val="91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8" w:customStyle="1">
    <w:name w:val="Верхний колонтитул Знак"/>
    <w:basedOn w:val="913"/>
    <w:link w:val="91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19">
    <w:name w:val="Footer"/>
    <w:basedOn w:val="912"/>
    <w:link w:val="92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0" w:customStyle="1">
    <w:name w:val="Нижний колонтитул Знак"/>
    <w:basedOn w:val="913"/>
    <w:link w:val="919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21" w:customStyle="1">
    <w:name w:val="Обычный2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3669-9DB8-4DF3-92A9-64471643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Р.Б.</dc:creator>
  <cp:keywords/>
  <dc:description/>
  <cp:revision>18</cp:revision>
  <dcterms:created xsi:type="dcterms:W3CDTF">2024-08-29T09:45:00Z</dcterms:created>
  <dcterms:modified xsi:type="dcterms:W3CDTF">2025-08-26T12:25:18Z</dcterms:modified>
</cp:coreProperties>
</file>