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Казань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https://login.consultant.ru/link/?req=doc&amp;base=RLAW363&amp;n=186787&amp;date=24.02.2025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12" w:lineRule="auto"/>
        <w:ind w:right="-1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12" w:lineRule="auto"/>
        <w:ind w:right="-1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0"/>
        <w:widowControl w:val="false"/>
        <w:numPr>
          <w:ilvl w:val="0"/>
          <w:numId w:val="19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before="0" w:line="312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19" w:tooltip="https://login.consultant.ru/link/?req=doc&amp;base=RLAW363&amp;n=186787&amp;date=24.02.2025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</w:t>
      </w:r>
      <w:r>
        <w:rPr>
          <w:rFonts w:ascii="Times New Roman" w:hAnsi="Times New Roman" w:cs="Times New Roman"/>
          <w:sz w:val="28"/>
          <w:szCs w:val="28"/>
        </w:rPr>
        <w:t xml:space="preserve">а плановый период 2026 и 2027 годов» (с изменениями, внесенными постановлениями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30.10.2024 №941, от 17.12.2024 №1154</w:t>
      </w:r>
      <w:r>
        <w:rPr>
          <w:rFonts w:ascii="Times New Roman" w:hAnsi="Times New Roman" w:cs="Times New Roman"/>
          <w:sz w:val="28"/>
          <w:szCs w:val="28"/>
        </w:rPr>
        <w:t xml:space="preserve">, от 29.04.2025 №</w:t>
      </w:r>
      <w:r>
        <w:rPr>
          <w:rFonts w:ascii="Times New Roman" w:hAnsi="Times New Roman" w:cs="Times New Roman"/>
          <w:sz w:val="28"/>
          <w:szCs w:val="28"/>
        </w:rPr>
        <w:t xml:space="preserve">279</w:t>
      </w:r>
      <w:r>
        <w:rPr>
          <w:rFonts w:ascii="Times New Roman" w:hAnsi="Times New Roman" w:cs="Times New Roman"/>
          <w:sz w:val="28"/>
          <w:szCs w:val="28"/>
        </w:rPr>
        <w:t xml:space="preserve">, от 05.05.2025 №291, </w:t>
      </w:r>
      <w:r>
        <w:rPr>
          <w:rFonts w:ascii="Times New Roman" w:hAnsi="Times New Roman" w:cs="Times New Roman"/>
          <w:sz w:val="28"/>
          <w:szCs w:val="28"/>
        </w:rPr>
        <w:t xml:space="preserve">от 27.05.2025 №361</w:t>
      </w:r>
      <w:r>
        <w:rPr>
          <w:rFonts w:ascii="Times New Roman" w:hAnsi="Times New Roman" w:cs="Times New Roman"/>
          <w:sz w:val="28"/>
          <w:szCs w:val="28"/>
        </w:rPr>
        <w:t xml:space="preserve">) следующие изменения: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before="0" w:line="312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оправочные коэффициенты к иным затратам в составе нормативных затрат на общехозяйственные нужды, связанные с оказанием государственной услуги, организаций социального обслуживания, находящихся в ведении Республики Татарстан, на 2025 год и на плановый перио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д 2026 и 2027 годов, 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указанным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, дополнить строкой следующего содержания: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before="0" w:line="312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tbl>
      <w:tblPr>
        <w:tblStyle w:val="105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50"/>
        <w:gridCol w:w="7795"/>
        <w:gridCol w:w="1558"/>
      </w:tblGrid>
      <w:tr>
        <w:trPr/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 w:right="-8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  <w:t xml:space="preserve">1.27.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false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993"/>
              </w:tabs>
              <w:spacing w:after="0" w:before="0" w:line="312" w:lineRule="auto"/>
              <w:ind/>
              <w:contextualSpacing w:val="false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779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Зеленодольский дом-интернат для престарелых и инвалидов «Дом заботы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3,18»;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widowControl w:val="false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993"/>
              </w:tabs>
              <w:spacing w:after="0" w:before="0" w:line="312" w:lineRule="auto"/>
              <w:ind/>
              <w:contextualSpacing w:val="false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before="0" w:line="312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before="0" w:line="312" w:lineRule="auto"/>
        <w:ind w:right="0"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оличестве койко-дней и койко-мест в организациях социального обслуживания, находящихся в ведении Республики Татарстан, со стационарной формой социального обслуживания, осуществляющих свою деятельность на территории муниципальных образований (городских окру</w:t>
      </w:r>
      <w:r>
        <w:rPr>
          <w:rFonts w:ascii="Times New Roman" w:hAnsi="Times New Roman" w:cs="Times New Roman"/>
          <w:sz w:val="28"/>
          <w:szCs w:val="28"/>
        </w:rPr>
        <w:t xml:space="preserve">гов),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указанным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, строку «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Зеленодольский муниципальный район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» изложить в следующей редакции: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before="0" w:line="312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tbl>
      <w:tblPr>
        <w:tblInd w:w="0" w:type="dxa"/>
        <w:tblW w:w="10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386"/>
        <w:gridCol w:w="1276"/>
        <w:gridCol w:w="1134"/>
      </w:tblGrid>
      <w:tr>
        <w:trPr>
          <w:trHeight w:val="488"/>
        </w:trPr>
        <w:tc>
          <w:tcPr>
            <w:shd w:val="clear" w:color="ffffff" w:fill="ffffff"/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Зеленодольский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53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ГАУСО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Зеленодольский дом-интернат для престарелых и инвалидов «Дом заботы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76"/>
        </w:trPr>
        <w:tc>
          <w:tcPr>
            <w:shd w:val="clear" w:color="ffffff" w:fill="ffffff"/>
            <w:tcBorders/>
            <w:tcW w:w="24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5386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ГАУСО «Зеленодольский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дом-интернат, предназначенный для граждан, имеющих психические расстройства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28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544».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before="0" w:line="312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/>
        <w:tabs>
          <w:tab w:val="left" w:leader="none" w:pos="993"/>
        </w:tabs>
        <w:spacing w:after="0" w:before="0" w:line="312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Установить, что действие настоящего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постановления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сентября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 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6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6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6" w:lineRule="auto"/>
        <w:ind w:right="0" w:firstLine="709" w:left="0"/>
        <w:jc w:val="center"/>
        <w:rPr>
          <w:rFonts w:ascii="Times New Roman" w:hAnsi="Times New Roman" w:cs="Times New Roman"/>
          <w:sz w:val="28"/>
          <w:szCs w:val="28"/>
          <w14:ligatures w14:val="none"/>
        </w:rPr>
        <w:sectPr>
          <w:headerReference w:type="default" r:id="rId9"/>
          <w:headerReference w:type="first" r:id="rId10"/>
          <w:footerReference w:type="first" r:id="rId14"/>
          <w:footnotePr/>
          <w:endnotePr/>
          <w:type w:val="nextPage"/>
          <w:pgSz w:h="16838" w:orient="portrait" w:w="11905"/>
          <w:pgMar w:top="1134" w:right="567" w:bottom="1134" w:left="1134" w:header="709" w:footer="709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1055"/>
        <w:suppressLineNumbers w:val="false"/>
        <w:pBdr/>
        <w:spacing w:line="240" w:lineRule="auto"/>
        <w:ind w:right="-142" w:firstLine="709" w:left="0"/>
        <w:contextualSpacing w:val="true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ОЯСНИТЕЛЬНАЯ ЗАПИСКА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suppressLineNumbers w:val="false"/>
        <w:pBdr/>
        <w:spacing w:line="240" w:lineRule="auto"/>
        <w:ind w:right="-142" w:firstLine="709" w:left="0"/>
        <w:contextualSpacing w:val="true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suppressLineNumbers w:val="false"/>
        <w:pBdr/>
        <w:spacing w:after="0" w:before="0" w:line="240" w:lineRule="auto"/>
        <w:ind w:right="-142" w:firstLine="0" w:left="0"/>
        <w:contextualSpacing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suppressLineNumbers w:val="false"/>
        <w:pBdr/>
        <w:spacing w:after="0" w:before="0" w:line="240" w:lineRule="auto"/>
        <w:ind w:right="-142" w:firstLine="0" w:left="0"/>
        <w:contextualSpacing w:val="true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внесении изменени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hyperlink r:id="rId20" w:tooltip="https://login.consultant.ru/link/?req=doc&amp;base=RLAW363&amp;n=186787&amp;date=24.02.2025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8"/>
        <w:suppressLineNumbers w:val="false"/>
        <w:pBdr/>
        <w:spacing w:after="57" w:afterAutospacing="1" w:before="57" w:beforeAutospacing="1" w:line="240" w:lineRule="auto"/>
        <w:ind w:right="-142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роект постановления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hyperlink r:id="rId21" w:tooltip="https://login.consultant.ru/link/?req=doc&amp;base=RLAW363&amp;n=186787&amp;date=24.02.2025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азработан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пункта 2 распоряжения Кабинета Министров Республики Татарстан от 17.07.2025 № 1609-р и обращения 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31.07.2025 № 06-08/10532 по вопросу внесения изменения в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22" w:tooltip="https://login.consultant.ru/link/?req=doc&amp;base=RLAW363&amp;n=186787&amp;date=24.02.2025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Кабинета Министров Республики Татарстан от 20.09.2024 №816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8"/>
        <w:suppressLineNumbers w:val="false"/>
        <w:pBdr/>
        <w:spacing w:after="57" w:afterAutospacing="1" w:before="57" w:beforeAutospacing="1" w:line="240" w:lineRule="auto"/>
        <w:ind w:right="-142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роектом постановления вносятся изменения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8"/>
        <w:suppressLineNumbers w:val="false"/>
        <w:pBdr/>
        <w:spacing w:after="57" w:afterAutospacing="1" w:before="57" w:beforeAutospacing="1" w:line="240" w:lineRule="auto"/>
        <w:ind w:right="-142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оправочные коэффициенты к иным затратам в составе нормативных затрат на общехозяйственные нужды, связанные с оказанием государственной услуги, организаций социального обслуживания, находящихся в ведении Республики Татарстан, на 2025 год и на плановый перио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д 2026 и 2027 годов, в части дополнения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ГАУСО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Зеленодольский дом-интернат для престарелых и инвалидов «Дом заботы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и установления для него поправочного коэффициента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8"/>
        <w:suppressLineNumbers w:val="false"/>
        <w:pBdr/>
        <w:spacing w:after="57" w:afterAutospacing="1" w:before="57" w:beforeAutospacing="1" w:line="240" w:lineRule="auto"/>
        <w:ind w:right="-142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 койко-дней и койко-мест в организациях социального обслуживания, находящихся в ведении Республики Татарстан, со стационарной формой социального обслуживания, осуществляющих свою деятельность на территории муниципальных образований (городских окру</w:t>
      </w:r>
      <w:r>
        <w:rPr>
          <w:rFonts w:ascii="Times New Roman" w:hAnsi="Times New Roman" w:cs="Times New Roman"/>
          <w:sz w:val="28"/>
          <w:szCs w:val="28"/>
        </w:rPr>
        <w:t xml:space="preserve">гов), на 2025 год и на плановый период 2026 и 2027 годов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 части дополнения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ГАУСО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Зеленодольский дом-интернат для престарелых и инвалидов «Дом заботы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на 120 койко-мест и открытием с 1 сентября 2025 года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8"/>
        <w:pBdr/>
        <w:spacing w:after="57" w:afterAutospacing="1" w:before="57" w:beforeAutospacing="1" w:line="240" w:lineRule="auto"/>
        <w:ind w:right="-142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</w:rPr>
      </w:r>
      <w:bookmarkStart w:id="5" w:name="_Hlk172273865"/>
      <w:r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Кабинета Министров Республики Татарстан не потребует выделения дополнительных финансовых средств из бюджета Республики Татарстан</w:t>
      </w:r>
      <w:bookmarkEnd w:id="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Средства на указанные цели предусмотрены в полном объеме.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1058"/>
        <w:suppressLineNumbers w:val="false"/>
        <w:pBdr/>
        <w:spacing w:after="57" w:afterAutospacing="1" w:before="57" w:beforeAutospacing="1" w:line="240" w:lineRule="auto"/>
        <w:ind w:right="-142" w:firstLine="709" w:left="0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58"/>
        <w:suppressLineNumbers w:val="false"/>
        <w:pBdr/>
        <w:spacing w:after="57" w:afterAutospacing="1" w:before="57" w:beforeAutospacing="1" w:line="240" w:lineRule="auto"/>
        <w:ind w:right="-142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1"/>
      <w:headerReference w:type="even" r:id="rId12"/>
      <w:headerReference w:type="first" r:id="rId13"/>
      <w:footerReference w:type="even" r:id="rId15"/>
      <w:footerReference w:type="first" r:id="rId16"/>
      <w:footnotePr/>
      <w:endnotePr/>
      <w:type w:val="nextPage"/>
      <w:pgSz w:h="16838" w:orient="portrait" w:w="11906"/>
      <w:pgMar w:top="851" w:right="709" w:bottom="709" w:left="1134" w:header="709" w:footer="0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framePr w:hAnchor="margin" w:vAnchor="text" w:wrap="around" w:xAlign="right" w:y="1"/>
      <w:pBdr/>
      <w:spacing/>
      <w:ind/>
      <w:rPr>
        <w:rStyle w:val="1045"/>
      </w:rPr>
    </w:pPr>
    <w:r>
      <w:rPr>
        <w:rStyle w:val="1045"/>
      </w:rPr>
      <w:fldChar w:fldCharType="begin"/>
    </w:r>
    <w:r>
      <w:rPr>
        <w:rStyle w:val="1045"/>
      </w:rPr>
      <w:instrText xml:space="preserve">PAGE  </w:instrText>
    </w:r>
    <w:r>
      <w:rPr>
        <w:rStyle w:val="1045"/>
      </w:rPr>
      <w:fldChar w:fldCharType="end"/>
    </w:r>
    <w:r>
      <w:rPr>
        <w:rStyle w:val="1045"/>
      </w:rPr>
    </w:r>
    <w:r>
      <w:rPr>
        <w:rStyle w:val="1045"/>
      </w:rPr>
    </w:r>
  </w:p>
  <w:p>
    <w:pPr>
      <w:pStyle w:val="1048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contextualSpacing w:val="true"/>
      <w:jc w:val="right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pBdr/>
      <w:spacing/>
      <w:ind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pBdr/>
      <w:spacing/>
      <w:ind/>
      <w:jc w:val="center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pBdr/>
      <w:spacing/>
      <w:ind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framePr w:hAnchor="margin" w:vAnchor="text" w:wrap="around" w:xAlign="center" w:y="1"/>
      <w:pBdr/>
      <w:spacing/>
      <w:ind/>
      <w:rPr>
        <w:rStyle w:val="1045"/>
      </w:rPr>
    </w:pPr>
    <w:r>
      <w:rPr>
        <w:rStyle w:val="1045"/>
      </w:rPr>
      <w:fldChar w:fldCharType="begin"/>
    </w:r>
    <w:r>
      <w:rPr>
        <w:rStyle w:val="1045"/>
      </w:rPr>
      <w:instrText xml:space="preserve">PAGE  </w:instrText>
    </w:r>
    <w:r>
      <w:rPr>
        <w:rStyle w:val="1045"/>
      </w:rPr>
      <w:fldChar w:fldCharType="end"/>
    </w:r>
    <w:r>
      <w:rPr>
        <w:rStyle w:val="1045"/>
      </w:rPr>
    </w:r>
    <w:r>
      <w:rPr>
        <w:rStyle w:val="1045"/>
      </w:rPr>
    </w:r>
  </w:p>
  <w:p>
    <w:pPr>
      <w:pStyle w:val="1046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906"/>
        </w:tabs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504" w:left="504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>
        <w:rFonts w:hint="default"/>
        <w:color w:val="auto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644"/>
        </w:tabs>
        <w:spacing/>
        <w:ind w:hanging="360" w:left="644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622"/>
        </w:tabs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55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0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1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58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480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upperRoman"/>
      <w:pPr>
        <w:pBdr/>
        <w:spacing/>
        <w:ind w:hanging="720" w:left="185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55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146"/>
      </w:pPr>
      <w:rPr>
        <w:rFonts w:hint="default"/>
        <w:color w:val="auto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0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1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0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58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480"/>
      </w:pPr>
      <w:rPr>
        <w:rFonts w:hint="default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525" w:left="525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4"/>
  </w:num>
  <w:num w:numId="10">
    <w:abstractNumId w:val="17"/>
  </w:num>
  <w:num w:numId="11">
    <w:abstractNumId w:val="14"/>
  </w:num>
  <w:num w:numId="12">
    <w:abstractNumId w:val="9"/>
  </w:num>
  <w:num w:numId="13">
    <w:abstractNumId w:val="3"/>
  </w:num>
  <w:num w:numId="14">
    <w:abstractNumId w:val="16"/>
  </w:num>
  <w:num w:numId="15">
    <w:abstractNumId w:val="13"/>
  </w:num>
  <w:num w:numId="16">
    <w:abstractNumId w:val="8"/>
  </w:num>
  <w:num w:numId="17">
    <w:abstractNumId w:val="2"/>
  </w:num>
  <w:num w:numId="18">
    <w:abstractNumId w:val="11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7">
    <w:name w:val="Placeholder Text"/>
    <w:basedOn w:val="1040"/>
    <w:uiPriority w:val="99"/>
    <w:semiHidden/>
    <w:pPr>
      <w:pBdr/>
      <w:spacing/>
      <w:ind/>
    </w:pPr>
    <w:rPr>
      <w:color w:val="666666"/>
    </w:rPr>
  </w:style>
  <w:style w:type="table" w:styleId="858">
    <w:name w:val="Table Grid Light"/>
    <w:basedOn w:val="10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1"/>
    <w:basedOn w:val="10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Plain Table 2"/>
    <w:basedOn w:val="10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Plain Table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3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"/>
    <w:basedOn w:val="10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1"/>
    <w:basedOn w:val="10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4 - Accent 2"/>
    <w:basedOn w:val="10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 - Accent 3"/>
    <w:basedOn w:val="10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4"/>
    <w:basedOn w:val="10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5"/>
    <w:basedOn w:val="10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6"/>
    <w:basedOn w:val="10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5 Dark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7 Colorful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1 Light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3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4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5 Dark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6 Colorful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7 Colorful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1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ned - Accent 2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 3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4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5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6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1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&amp; Lined - Accent 2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 3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4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5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6"/>
    <w:basedOn w:val="10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1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- Accent 2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- Accent 3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4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5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6"/>
    <w:basedOn w:val="10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3">
    <w:name w:val="Heading 1"/>
    <w:basedOn w:val="1039"/>
    <w:next w:val="1039"/>
    <w:link w:val="99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4">
    <w:name w:val="Heading 2"/>
    <w:basedOn w:val="1039"/>
    <w:next w:val="1039"/>
    <w:link w:val="99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5">
    <w:name w:val="Heading 3"/>
    <w:basedOn w:val="1039"/>
    <w:next w:val="1039"/>
    <w:link w:val="99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6">
    <w:name w:val="Heading 4"/>
    <w:basedOn w:val="1039"/>
    <w:next w:val="1039"/>
    <w:link w:val="99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87">
    <w:name w:val="Heading 5"/>
    <w:basedOn w:val="1039"/>
    <w:next w:val="1039"/>
    <w:link w:val="99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88">
    <w:name w:val="Heading 6"/>
    <w:basedOn w:val="1039"/>
    <w:next w:val="1039"/>
    <w:link w:val="99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89">
    <w:name w:val="Heading 7"/>
    <w:basedOn w:val="1039"/>
    <w:next w:val="1039"/>
    <w:link w:val="99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0">
    <w:name w:val="Heading 8"/>
    <w:basedOn w:val="1039"/>
    <w:next w:val="1039"/>
    <w:link w:val="99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1">
    <w:name w:val="Heading 9"/>
    <w:basedOn w:val="1039"/>
    <w:next w:val="1039"/>
    <w:link w:val="100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2">
    <w:name w:val="Heading 1 Char"/>
    <w:basedOn w:val="1040"/>
    <w:link w:val="9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3">
    <w:name w:val="Heading 2 Char"/>
    <w:basedOn w:val="1040"/>
    <w:link w:val="9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4">
    <w:name w:val="Heading 3 Char"/>
    <w:basedOn w:val="1040"/>
    <w:link w:val="9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5">
    <w:name w:val="Heading 4 Char"/>
    <w:basedOn w:val="1040"/>
    <w:link w:val="9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6">
    <w:name w:val="Heading 5 Char"/>
    <w:basedOn w:val="1040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97">
    <w:name w:val="Heading 6 Char"/>
    <w:basedOn w:val="1040"/>
    <w:link w:val="9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8">
    <w:name w:val="Heading 7 Char"/>
    <w:basedOn w:val="1040"/>
    <w:link w:val="9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9">
    <w:name w:val="Heading 8 Char"/>
    <w:basedOn w:val="1040"/>
    <w:link w:val="9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0">
    <w:name w:val="Heading 9 Char"/>
    <w:basedOn w:val="1040"/>
    <w:link w:val="9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1">
    <w:name w:val="Title"/>
    <w:basedOn w:val="1039"/>
    <w:next w:val="1039"/>
    <w:link w:val="100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2">
    <w:name w:val="Title Char"/>
    <w:basedOn w:val="1040"/>
    <w:link w:val="100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3">
    <w:name w:val="Subtitle"/>
    <w:basedOn w:val="1039"/>
    <w:next w:val="1039"/>
    <w:link w:val="100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4">
    <w:name w:val="Subtitle Char"/>
    <w:basedOn w:val="1040"/>
    <w:link w:val="100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5">
    <w:name w:val="Quote"/>
    <w:basedOn w:val="1039"/>
    <w:next w:val="1039"/>
    <w:link w:val="100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6">
    <w:name w:val="Quote Char"/>
    <w:basedOn w:val="1040"/>
    <w:link w:val="100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07">
    <w:name w:val="Intense Emphasis"/>
    <w:basedOn w:val="10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08">
    <w:name w:val="Intense Quote"/>
    <w:basedOn w:val="1039"/>
    <w:next w:val="1039"/>
    <w:link w:val="100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09">
    <w:name w:val="Intense Quote Char"/>
    <w:basedOn w:val="1040"/>
    <w:link w:val="100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0">
    <w:name w:val="Intense Reference"/>
    <w:basedOn w:val="10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11">
    <w:name w:val="No Spacing"/>
    <w:basedOn w:val="1039"/>
    <w:uiPriority w:val="1"/>
    <w:qFormat/>
    <w:pPr>
      <w:pBdr/>
      <w:spacing w:after="0" w:line="240" w:lineRule="auto"/>
      <w:ind/>
    </w:pPr>
  </w:style>
  <w:style w:type="character" w:styleId="1012">
    <w:name w:val="Subtle Emphasis"/>
    <w:basedOn w:val="10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3">
    <w:name w:val="Emphasis"/>
    <w:basedOn w:val="1040"/>
    <w:uiPriority w:val="20"/>
    <w:qFormat/>
    <w:pPr>
      <w:pBdr/>
      <w:spacing/>
      <w:ind/>
    </w:pPr>
    <w:rPr>
      <w:i/>
      <w:iCs/>
    </w:rPr>
  </w:style>
  <w:style w:type="character" w:styleId="1014">
    <w:name w:val="Strong"/>
    <w:basedOn w:val="1040"/>
    <w:uiPriority w:val="22"/>
    <w:qFormat/>
    <w:pPr>
      <w:pBdr/>
      <w:spacing/>
      <w:ind/>
    </w:pPr>
    <w:rPr>
      <w:b/>
      <w:bCs/>
    </w:rPr>
  </w:style>
  <w:style w:type="character" w:styleId="1015">
    <w:name w:val="Subtle Reference"/>
    <w:basedOn w:val="10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6">
    <w:name w:val="Book Title"/>
    <w:basedOn w:val="104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7">
    <w:name w:val="Header Char"/>
    <w:basedOn w:val="1040"/>
    <w:link w:val="1046"/>
    <w:uiPriority w:val="99"/>
    <w:pPr>
      <w:pBdr/>
      <w:spacing/>
      <w:ind/>
    </w:pPr>
  </w:style>
  <w:style w:type="character" w:styleId="1018">
    <w:name w:val="Footer Char"/>
    <w:basedOn w:val="1040"/>
    <w:link w:val="1048"/>
    <w:uiPriority w:val="99"/>
    <w:pPr>
      <w:pBdr/>
      <w:spacing/>
      <w:ind/>
    </w:pPr>
  </w:style>
  <w:style w:type="paragraph" w:styleId="1019">
    <w:name w:val="Caption"/>
    <w:basedOn w:val="1039"/>
    <w:next w:val="10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20">
    <w:name w:val="footnote text"/>
    <w:basedOn w:val="1039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40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40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9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40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40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4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1"/>
    <w:basedOn w:val="1039"/>
    <w:next w:val="1039"/>
    <w:uiPriority w:val="39"/>
    <w:unhideWhenUsed/>
    <w:pPr>
      <w:pBdr/>
      <w:spacing w:after="100"/>
      <w:ind/>
    </w:pPr>
  </w:style>
  <w:style w:type="paragraph" w:styleId="1029">
    <w:name w:val="toc 2"/>
    <w:basedOn w:val="1039"/>
    <w:next w:val="1039"/>
    <w:uiPriority w:val="39"/>
    <w:unhideWhenUsed/>
    <w:pPr>
      <w:pBdr/>
      <w:spacing w:after="100"/>
      <w:ind w:left="220"/>
    </w:pPr>
  </w:style>
  <w:style w:type="paragraph" w:styleId="1030">
    <w:name w:val="toc 3"/>
    <w:basedOn w:val="1039"/>
    <w:next w:val="1039"/>
    <w:uiPriority w:val="39"/>
    <w:unhideWhenUsed/>
    <w:pPr>
      <w:pBdr/>
      <w:spacing w:after="100"/>
      <w:ind w:left="440"/>
    </w:pPr>
  </w:style>
  <w:style w:type="paragraph" w:styleId="1031">
    <w:name w:val="toc 4"/>
    <w:basedOn w:val="1039"/>
    <w:next w:val="1039"/>
    <w:uiPriority w:val="39"/>
    <w:unhideWhenUsed/>
    <w:pPr>
      <w:pBdr/>
      <w:spacing w:after="100"/>
      <w:ind w:left="660"/>
    </w:pPr>
  </w:style>
  <w:style w:type="paragraph" w:styleId="1032">
    <w:name w:val="toc 5"/>
    <w:basedOn w:val="1039"/>
    <w:next w:val="1039"/>
    <w:uiPriority w:val="39"/>
    <w:unhideWhenUsed/>
    <w:pPr>
      <w:pBdr/>
      <w:spacing w:after="100"/>
      <w:ind w:left="880"/>
    </w:pPr>
  </w:style>
  <w:style w:type="paragraph" w:styleId="1033">
    <w:name w:val="toc 6"/>
    <w:basedOn w:val="1039"/>
    <w:next w:val="1039"/>
    <w:uiPriority w:val="39"/>
    <w:unhideWhenUsed/>
    <w:pPr>
      <w:pBdr/>
      <w:spacing w:after="100"/>
      <w:ind w:left="1100"/>
    </w:pPr>
  </w:style>
  <w:style w:type="paragraph" w:styleId="1034">
    <w:name w:val="toc 7"/>
    <w:basedOn w:val="1039"/>
    <w:next w:val="1039"/>
    <w:uiPriority w:val="39"/>
    <w:unhideWhenUsed/>
    <w:pPr>
      <w:pBdr/>
      <w:spacing w:after="100"/>
      <w:ind w:left="1320"/>
    </w:pPr>
  </w:style>
  <w:style w:type="paragraph" w:styleId="1035">
    <w:name w:val="toc 8"/>
    <w:basedOn w:val="1039"/>
    <w:next w:val="1039"/>
    <w:uiPriority w:val="39"/>
    <w:unhideWhenUsed/>
    <w:pPr>
      <w:pBdr/>
      <w:spacing w:after="100"/>
      <w:ind w:left="1540"/>
    </w:pPr>
  </w:style>
  <w:style w:type="paragraph" w:styleId="1036">
    <w:name w:val="toc 9"/>
    <w:basedOn w:val="1039"/>
    <w:next w:val="1039"/>
    <w:uiPriority w:val="39"/>
    <w:unhideWhenUsed/>
    <w:pPr>
      <w:pBdr/>
      <w:spacing w:after="100"/>
      <w:ind w:left="1760"/>
    </w:pPr>
  </w:style>
  <w:style w:type="paragraph" w:styleId="1037">
    <w:name w:val="TOC Heading"/>
    <w:uiPriority w:val="39"/>
    <w:unhideWhenUsed/>
    <w:pPr>
      <w:pBdr/>
      <w:spacing/>
      <w:ind/>
    </w:pPr>
  </w:style>
  <w:style w:type="paragraph" w:styleId="1038">
    <w:name w:val="table of figures"/>
    <w:basedOn w:val="1039"/>
    <w:next w:val="1039"/>
    <w:uiPriority w:val="99"/>
    <w:unhideWhenUsed/>
    <w:pPr>
      <w:pBdr/>
      <w:spacing w:after="0" w:afterAutospacing="0"/>
      <w:ind/>
    </w:pPr>
  </w:style>
  <w:style w:type="paragraph" w:styleId="1039" w:default="1">
    <w:name w:val="Normal"/>
    <w:qFormat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character" w:styleId="1040" w:default="1">
    <w:name w:val="Default Paragraph Font"/>
    <w:uiPriority w:val="1"/>
    <w:semiHidden/>
    <w:unhideWhenUsed/>
    <w:pPr>
      <w:pBdr/>
      <w:spacing/>
      <w:ind/>
    </w:pPr>
  </w:style>
  <w:style w:type="table" w:styleId="104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42" w:default="1">
    <w:name w:val="No List"/>
    <w:uiPriority w:val="99"/>
    <w:semiHidden/>
    <w:unhideWhenUsed/>
    <w:pPr>
      <w:pBdr/>
      <w:spacing/>
      <w:ind/>
    </w:pPr>
  </w:style>
  <w:style w:type="paragraph" w:styleId="1043" w:customStyle="1">
    <w:name w:val="ConsPlusTitle"/>
    <w:uiPriority w:val="99"/>
    <w:pPr>
      <w:pBdr/>
      <w:spacing/>
      <w:ind/>
    </w:pPr>
    <w:rPr>
      <w:rFonts w:ascii="Times New Roman" w:hAnsi="Times New Roman" w:eastAsia="Times New Roman"/>
      <w:b/>
      <w:bCs/>
      <w:sz w:val="28"/>
      <w:szCs w:val="28"/>
    </w:rPr>
  </w:style>
  <w:style w:type="paragraph" w:styleId="1044" w:customStyle="1">
    <w:name w:val="ConsPlusCell"/>
    <w:pPr>
      <w:pBdr/>
      <w:spacing/>
      <w:ind/>
    </w:pPr>
    <w:rPr>
      <w:rFonts w:ascii="Arial" w:hAnsi="Arial" w:eastAsia="Times New Roman" w:cs="Arial"/>
    </w:rPr>
  </w:style>
  <w:style w:type="character" w:styleId="1045">
    <w:name w:val="page number"/>
    <w:basedOn w:val="1040"/>
    <w:pPr>
      <w:pBdr/>
      <w:spacing/>
      <w:ind/>
    </w:pPr>
  </w:style>
  <w:style w:type="paragraph" w:styleId="1046">
    <w:name w:val="Header"/>
    <w:basedOn w:val="1039"/>
    <w:link w:val="1047"/>
    <w:pPr>
      <w:widowControl w:val="false"/>
      <w:pBdr/>
      <w:tabs>
        <w:tab w:val="center" w:leader="none" w:pos="4153"/>
        <w:tab w:val="right" w:leader="none" w:pos="8306"/>
      </w:tabs>
      <w:spacing w:before="60" w:line="360" w:lineRule="auto"/>
      <w:ind w:firstLine="709"/>
      <w:jc w:val="both"/>
    </w:pPr>
    <w:rPr>
      <w:sz w:val="28"/>
      <w:szCs w:val="20"/>
    </w:rPr>
  </w:style>
  <w:style w:type="character" w:styleId="1047" w:customStyle="1">
    <w:name w:val="Верхний колонтитул Знак"/>
    <w:link w:val="1046"/>
    <w:uiPriority w:val="99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48">
    <w:name w:val="Footer"/>
    <w:basedOn w:val="1039"/>
    <w:link w:val="104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49" w:customStyle="1">
    <w:name w:val="Нижний колонтитул Знак"/>
    <w:link w:val="1048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50">
    <w:name w:val="List Paragraph"/>
    <w:basedOn w:val="1039"/>
    <w:uiPriority w:val="34"/>
    <w:qFormat/>
    <w:pPr>
      <w:pBdr/>
      <w:spacing/>
      <w:ind w:left="720"/>
      <w:contextualSpacing w:val="true"/>
    </w:pPr>
  </w:style>
  <w:style w:type="paragraph" w:styleId="1051" w:customStyle="1">
    <w:name w:val="Знак Знак Знак Знак Знак Знак Знак Знак Знак Знак"/>
    <w:basedOn w:val="1039"/>
    <w:pPr>
      <w:pBdr/>
      <w:spacing w:after="100" w:afterAutospacing="1" w:before="100" w:beforeAutospacing="1"/>
      <w:ind/>
    </w:pPr>
    <w:rPr>
      <w:rFonts w:ascii="Tahoma" w:hAnsi="Tahoma" w:cs="Tahoma"/>
      <w:sz w:val="20"/>
      <w:szCs w:val="20"/>
      <w:lang w:val="en-US" w:eastAsia="en-US"/>
    </w:rPr>
  </w:style>
  <w:style w:type="table" w:styleId="1052">
    <w:name w:val="Table Grid"/>
    <w:basedOn w:val="1041"/>
    <w:pPr>
      <w:pBdr/>
      <w:spacing/>
      <w:ind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53">
    <w:name w:val="Balloon Text"/>
    <w:basedOn w:val="1039"/>
    <w:link w:val="105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054" w:customStyle="1">
    <w:name w:val="Текст выноски Знак"/>
    <w:link w:val="1053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1055" w:customStyle="1">
    <w:name w:val="ConsPlusNormal"/>
    <w:pPr>
      <w:widowControl w:val="false"/>
      <w:pBdr/>
      <w:spacing/>
      <w:ind/>
    </w:pPr>
    <w:rPr>
      <w:rFonts w:ascii="Arial" w:hAnsi="Arial" w:eastAsia="Times New Roman" w:cs="Arial"/>
    </w:rPr>
  </w:style>
  <w:style w:type="paragraph" w:styleId="1056" w:customStyle="1">
    <w:name w:val="Подписание"/>
    <w:basedOn w:val="1039"/>
    <w:pPr>
      <w:widowControl w:val="false"/>
      <w:pBdr/>
      <w:spacing/>
      <w:ind w:firstLine="709"/>
      <w:jc w:val="both"/>
    </w:pPr>
    <w:rPr>
      <w:sz w:val="28"/>
      <w:szCs w:val="20"/>
    </w:rPr>
  </w:style>
  <w:style w:type="paragraph" w:styleId="1057">
    <w:name w:val="Normal (Web)"/>
    <w:basedOn w:val="1039"/>
    <w:uiPriority w:val="99"/>
    <w:semiHidden/>
    <w:unhideWhenUsed/>
    <w:pPr>
      <w:pBdr/>
      <w:spacing w:after="100" w:afterAutospacing="1" w:before="100" w:beforeAutospacing="1"/>
      <w:ind/>
    </w:pPr>
  </w:style>
  <w:style w:type="character" w:styleId="1058" w:customStyle="1">
    <w:name w:val="StGen0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customXml" Target="../customXml/item1.xml" /><Relationship Id="rId18" Type="http://schemas.openxmlformats.org/officeDocument/2006/relationships/hyperlink" Target="https://login.consultant.ru/link/?req=doc&amp;base=RLAW363&amp;n=186787&amp;date=24.02.2025" TargetMode="External"/><Relationship Id="rId19" Type="http://schemas.openxmlformats.org/officeDocument/2006/relationships/hyperlink" Target="https://login.consultant.ru/link/?req=doc&amp;base=RLAW363&amp;n=186787&amp;date=24.02.2025" TargetMode="External"/><Relationship Id="rId20" Type="http://schemas.openxmlformats.org/officeDocument/2006/relationships/hyperlink" Target="https://login.consultant.ru/link/?req=doc&amp;base=RLAW363&amp;n=186787&amp;date=24.02.2025" TargetMode="External"/><Relationship Id="rId21" Type="http://schemas.openxmlformats.org/officeDocument/2006/relationships/hyperlink" Target="https://login.consultant.ru/link/?req=doc&amp;base=RLAW363&amp;n=186787&amp;date=24.02.2025" TargetMode="External"/><Relationship Id="rId22" Type="http://schemas.openxmlformats.org/officeDocument/2006/relationships/hyperlink" Target="https://login.consultant.ru/link/?req=doc&amp;base=RLAW363&amp;n=186787&amp;date=24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ABCA-6BD6-471D-9976-AB49E38D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revision>29</cp:revision>
  <dcterms:created xsi:type="dcterms:W3CDTF">2024-09-03T08:22:00Z</dcterms:created>
  <dcterms:modified xsi:type="dcterms:W3CDTF">2025-09-02T08:19:22Z</dcterms:modified>
</cp:coreProperties>
</file>