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977"/>
        </w:tabs>
        <w:spacing w:after="0" w:line="240" w:lineRule="auto"/>
        <w:ind w:right="5810" w:firstLine="0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tabs>
          <w:tab w:val="left" w:leader="none" w:pos="3969"/>
        </w:tabs>
        <w:spacing w:after="0" w:line="240" w:lineRule="auto"/>
        <w:ind w:right="581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12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Правила формирования стипендиального фонда за счет бюджетных ассигнований бюджета Республики Татарстан, утвержденные постановлением Кабинета Министров Республики Татарстан от 07.12.2017 № 944 «Об утверждении Правил формирования стипен</w:t>
      </w:r>
      <w:r>
        <w:rPr>
          <w:rFonts w:ascii="Times New Roman" w:hAnsi="Times New Roman"/>
          <w:sz w:val="28"/>
          <w:szCs w:val="28"/>
        </w:rPr>
        <w:t xml:space="preserve">диального фонда за счет бюджетных ассигнований бюджета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е, изложив </w:t>
      </w:r>
      <w:r>
        <w:rPr>
          <w:rFonts w:ascii="Times New Roman" w:hAnsi="Times New Roman"/>
          <w:sz w:val="28"/>
          <w:szCs w:val="28"/>
        </w:rPr>
        <w:t xml:space="preserve">пункт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312" w:lineRule="auto"/>
        <w:ind w:right="0" w:firstLine="709" w:left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lang w:val="undefined" w:bidi="undefined"/>
        </w:rPr>
      </w:r>
      <w:r>
        <w:rPr>
          <w:rFonts w:ascii="Times New Roman" w:hAnsi="Times New Roman"/>
          <w:sz w:val="28"/>
          <w:szCs w:val="28"/>
          <w:lang w:val="undefined"/>
        </w:rPr>
        <w:t xml:space="preserve">«</w:t>
      </w:r>
      <w:r>
        <w:rPr>
          <w:rFonts w:ascii="Times New Roman" w:hAnsi="Times New Roman"/>
          <w:sz w:val="28"/>
          <w:szCs w:val="28"/>
          <w:lang w:val="undefined"/>
        </w:rPr>
        <w:t xml:space="preserve">4. Объем стипендиального фонда организаций рассчитывается по следующей формуле:</w:t>
      </w:r>
      <w:r>
        <w:rPr>
          <w:rFonts w:ascii="Times New Roman" w:hAnsi="Times New Roman"/>
          <w:sz w:val="28"/>
          <w:szCs w:val="28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312" w:lineRule="auto"/>
        <w:ind w:right="1417" w:firstLine="0" w:left="85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undefined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=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раб1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312" w:lineRule="auto"/>
        <w:ind w:right="1417" w:firstLine="0" w:left="85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нпк1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нпк1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+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нпк2</m:t>
            </m:r>
          </m:sub>
        </m:sSub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  <m:oMath>
        <m:r>
          <w:rPr>
            <w:rFonts w:hint="default" w:ascii="Cambria Math" w:hAnsi="Cambria Math" w:eastAsia="Cambria Math" w:cs="Cambria Math"/>
            <w:color w:val="000000"/>
            <w:sz w:val="24"/>
            <w:szCs w:val="24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4,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312" w:lineRule="auto"/>
        <w:ind w:right="0" w:firstLine="0" w:left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lang w:val="undefined"/>
        </w:rPr>
        <w:t xml:space="preserve">где:</w:t>
      </w:r>
      <w:r>
        <w:rPr>
          <w:rFonts w:ascii="Times New Roman" w:hAnsi="Times New Roman"/>
          <w:sz w:val="28"/>
          <w:szCs w:val="28"/>
          <w:lang w:val="undefined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 w:line="312" w:lineRule="auto"/>
        <w:ind w:right="0" w:firstLine="0" w:left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lang w:val="undefined"/>
        </w:rPr>
        <w:t xml:space="preserve">С - объем стипендиального фонда организации;</w:t>
      </w:r>
      <w:r>
        <w:rPr>
          <w:rFonts w:ascii="Times New Roman" w:hAnsi="Times New Roman"/>
          <w:sz w:val="28"/>
          <w:szCs w:val="28"/>
          <w:lang w:val="undefined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 фонда </w:t>
      </w:r>
      <w:r>
        <w:rPr>
          <w:rFonts w:ascii="Times New Roman" w:hAnsi="Times New Roman"/>
          <w:sz w:val="28"/>
          <w:szCs w:val="28"/>
        </w:rPr>
        <w:t xml:space="preserve">для выплаты </w:t>
      </w:r>
      <w:r>
        <w:rPr>
          <w:rFonts w:ascii="Times New Roman" w:hAnsi="Times New Roman"/>
          <w:sz w:val="28"/>
          <w:szCs w:val="28"/>
        </w:rPr>
        <w:t xml:space="preserve">государственной академической стипендии,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социальной стипендии студентам профессиональных образовательных о</w:t>
      </w:r>
      <w:r>
        <w:rPr>
          <w:rFonts w:ascii="Times New Roman" w:hAnsi="Times New Roman"/>
          <w:sz w:val="28"/>
          <w:szCs w:val="28"/>
        </w:rPr>
        <w:t xml:space="preserve">рганизаций и образовательных организаций высшего образования, обучающимся по программам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за счет средств бюджета Республики Татарстан, студентам профессиональных образовате</w:t>
      </w:r>
      <w:r>
        <w:rPr>
          <w:rFonts w:ascii="Times New Roman" w:hAnsi="Times New Roman"/>
          <w:sz w:val="28"/>
          <w:szCs w:val="28"/>
        </w:rPr>
        <w:t xml:space="preserve">льных организаций, обучающимся по программам подготовки квалифицированных рабочих, служащих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на базе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 установленный с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января</w:t>
      </w:r>
      <w:r>
        <w:rPr>
          <w:rFonts w:ascii="Times New Roman" w:hAnsi="Times New Roman"/>
          <w:sz w:val="28"/>
          <w:szCs w:val="28"/>
        </w:rPr>
        <w:t xml:space="preserve"> по август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 фонда </w:t>
      </w:r>
      <w:r>
        <w:rPr>
          <w:rFonts w:ascii="Times New Roman" w:hAnsi="Times New Roman"/>
          <w:sz w:val="28"/>
          <w:szCs w:val="28"/>
        </w:rPr>
        <w:t xml:space="preserve">для выплаты </w:t>
      </w:r>
      <w:r>
        <w:rPr>
          <w:rFonts w:ascii="Times New Roman" w:hAnsi="Times New Roman"/>
          <w:sz w:val="28"/>
          <w:szCs w:val="28"/>
        </w:rPr>
        <w:t xml:space="preserve">государственной академической стипендии,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социальной стипендии студентам профессиональных образовательных о</w:t>
      </w:r>
      <w:r>
        <w:rPr>
          <w:rFonts w:ascii="Times New Roman" w:hAnsi="Times New Roman"/>
          <w:sz w:val="28"/>
          <w:szCs w:val="28"/>
        </w:rPr>
        <w:t xml:space="preserve">рганизаций и образовательных организаций высшего образования, обучающимся по программам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за счет средств бюджета Республики Татарстан, студентам профессиональных образовате</w:t>
      </w:r>
      <w:r>
        <w:rPr>
          <w:rFonts w:ascii="Times New Roman" w:hAnsi="Times New Roman"/>
          <w:sz w:val="28"/>
          <w:szCs w:val="28"/>
        </w:rPr>
        <w:t xml:space="preserve">льных организаций, обучающимся по программам подготовки квалифицированных рабочих, служащих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на базе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 установленный с сентября по декабрь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студентов профессиональных образовательных организаций и образовательных организаций высшего образования, обучающихся по программам подготовки специалистов средне</w:t>
      </w:r>
      <w:r>
        <w:rPr>
          <w:rFonts w:ascii="Times New Roman" w:hAnsi="Times New Roman"/>
          <w:sz w:val="28"/>
          <w:szCs w:val="28"/>
          <w:highlight w:val="white"/>
        </w:rPr>
        <w:t xml:space="preserve">го звена </w:t>
      </w:r>
      <w:r>
        <w:rPr>
          <w:rFonts w:ascii="Times New Roman" w:hAnsi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очной форм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обучения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за счет средств бюджета Республики Татарстан, студентов профессиональных образовательных организаций, обучающихся по программам подготовки квалифицированных рабочих, служащих </w:t>
      </w:r>
      <w:r>
        <w:rPr>
          <w:rFonts w:ascii="Times New Roman" w:hAnsi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очной форм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обучения на базе среднего о</w:t>
      </w:r>
      <w:r>
        <w:rPr>
          <w:rFonts w:ascii="Times New Roman" w:hAnsi="Times New Roman"/>
          <w:sz w:val="28"/>
          <w:szCs w:val="28"/>
        </w:rPr>
        <w:t xml:space="preserve">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 студентов указанных образовательных организаций, имеющих право на получение социальной стипендии за период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ср2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студентов профессиональных образовательных организаций и образовательных организаций высшего образования, обучающихся по программам подготовки специалистов среднего звена по очной форме обучения за счет средств бюджета Р</w:t>
      </w:r>
      <w:r>
        <w:rPr>
          <w:rFonts w:ascii="Times New Roman" w:hAnsi="Times New Roman"/>
          <w:sz w:val="28"/>
          <w:szCs w:val="28"/>
        </w:rPr>
        <w:t xml:space="preserve">еспублики Татарстан, студентов профессиональных образовательных организаций, обучающихся по программам подготовки квалифицированных рабочих, служащих по очной форме обучения на базе среднего общего образования за счет средств бюджета </w:t>
      </w:r>
      <w:r>
        <w:rPr>
          <w:rFonts w:ascii="Times New Roman" w:hAnsi="Times New Roman"/>
          <w:sz w:val="28"/>
          <w:szCs w:val="28"/>
        </w:rPr>
        <w:t xml:space="preserve">Республики Татарстан, студентов указанных образовательных организаций, имеющих право на получение социальной стипендии за период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</w:t>
      </w:r>
      <w:r>
        <w:rPr>
          <w:rFonts w:ascii="Times New Roman" w:hAnsi="Times New Roman"/>
          <w:sz w:val="28"/>
          <w:szCs w:val="28"/>
        </w:rPr>
        <w:t xml:space="preserve"> фонда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академической стипендии,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социальной стипендии студентам образовательных орган</w:t>
      </w:r>
      <w:r>
        <w:rPr>
          <w:rFonts w:ascii="Times New Roman" w:hAnsi="Times New Roman"/>
          <w:sz w:val="28"/>
          <w:szCs w:val="28"/>
        </w:rPr>
        <w:t xml:space="preserve">изаций высшего образования, обучающимся по программам бакалавриата, программам </w:t>
      </w:r>
      <w:r>
        <w:rPr>
          <w:rFonts w:ascii="Times New Roman" w:hAnsi="Times New Roman"/>
          <w:sz w:val="28"/>
          <w:szCs w:val="28"/>
        </w:rPr>
        <w:t xml:space="preserve">специалитета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программам магистратуры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 </w:t>
      </w:r>
      <w:r>
        <w:rPr>
          <w:rFonts w:ascii="Times New Roman" w:hAnsi="Times New Roman"/>
          <w:sz w:val="28"/>
          <w:szCs w:val="28"/>
        </w:rPr>
        <w:t xml:space="preserve">установленный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</w:t>
      </w:r>
      <w:r>
        <w:rPr>
          <w:rFonts w:ascii="Times New Roman" w:hAnsi="Times New Roman"/>
          <w:sz w:val="28"/>
          <w:szCs w:val="28"/>
        </w:rPr>
        <w:t xml:space="preserve"> фонда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академической стипендии,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социальной стипендии студентам образовательных орган</w:t>
      </w:r>
      <w:r>
        <w:rPr>
          <w:rFonts w:ascii="Times New Roman" w:hAnsi="Times New Roman"/>
          <w:sz w:val="28"/>
          <w:szCs w:val="28"/>
        </w:rPr>
        <w:t xml:space="preserve">изаций высшего образования, обучающимся по программам бакалавриата, программам </w:t>
      </w:r>
      <w:r>
        <w:rPr>
          <w:rFonts w:ascii="Times New Roman" w:hAnsi="Times New Roman"/>
          <w:sz w:val="28"/>
          <w:szCs w:val="28"/>
        </w:rPr>
        <w:t xml:space="preserve">специалитета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программам магистратуры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 </w:t>
      </w:r>
      <w:r>
        <w:rPr>
          <w:rFonts w:ascii="Times New Roman" w:hAnsi="Times New Roman"/>
          <w:sz w:val="28"/>
          <w:szCs w:val="28"/>
        </w:rPr>
        <w:t xml:space="preserve">установленный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студентов </w:t>
      </w:r>
      <w:r>
        <w:rPr>
          <w:rFonts w:ascii="Times New Roman" w:hAnsi="Times New Roman"/>
          <w:sz w:val="28"/>
          <w:szCs w:val="28"/>
        </w:rPr>
        <w:t xml:space="preserve">образовательных орган</w:t>
      </w:r>
      <w:r>
        <w:rPr>
          <w:rFonts w:ascii="Times New Roman" w:hAnsi="Times New Roman"/>
          <w:sz w:val="28"/>
          <w:szCs w:val="28"/>
        </w:rPr>
        <w:t xml:space="preserve">изаций высшего образования, обучающимся по программам бакалавриата, программам </w:t>
      </w:r>
      <w:r>
        <w:rPr>
          <w:rFonts w:ascii="Times New Roman" w:hAnsi="Times New Roman"/>
          <w:sz w:val="28"/>
          <w:szCs w:val="28"/>
        </w:rPr>
        <w:t xml:space="preserve">специалитета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программам магистратуры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, студентов указанных образовательных организаций, имеющих право на получение социальной стипендии за период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во2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студентов </w:t>
      </w:r>
      <w:r>
        <w:rPr>
          <w:rFonts w:ascii="Times New Roman" w:hAnsi="Times New Roman"/>
          <w:sz w:val="28"/>
          <w:szCs w:val="28"/>
        </w:rPr>
        <w:t xml:space="preserve">образовательных орган</w:t>
      </w:r>
      <w:r>
        <w:rPr>
          <w:rFonts w:ascii="Times New Roman" w:hAnsi="Times New Roman"/>
          <w:sz w:val="28"/>
          <w:szCs w:val="28"/>
        </w:rPr>
        <w:t xml:space="preserve">изаций высшего образования, обучающимся по программам бакалавриата, программам </w:t>
      </w:r>
      <w:r>
        <w:rPr>
          <w:rFonts w:ascii="Times New Roman" w:hAnsi="Times New Roman"/>
          <w:sz w:val="28"/>
          <w:szCs w:val="28"/>
        </w:rPr>
        <w:t xml:space="preserve">специалитета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программам магистратуры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, студентов указанных образовательных организаций, имеющих право на получение социальной стипендии за период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государственной стипендии аспирантам, ординаторам, ассистентам-стажерам о</w:t>
      </w:r>
      <w:r>
        <w:rPr>
          <w:rFonts w:ascii="Times New Roman" w:hAnsi="Times New Roman"/>
          <w:sz w:val="28"/>
          <w:szCs w:val="28"/>
        </w:rPr>
        <w:t xml:space="preserve">бразовательных организаций высшего образования, обучающимся по программам подготовки научно-педагогических кадров, </w:t>
      </w:r>
      <w:r>
        <w:rPr>
          <w:rFonts w:ascii="Times New Roman" w:hAnsi="Times New Roman"/>
          <w:sz w:val="28"/>
          <w:szCs w:val="28"/>
        </w:rPr>
        <w:t xml:space="preserve">ординаторы, ассистентуры-стажировки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обучения</w:t>
      </w:r>
      <w:r>
        <w:rPr>
          <w:rFonts w:ascii="Times New Roman" w:hAnsi="Times New Roman"/>
          <w:sz w:val="28"/>
          <w:szCs w:val="28"/>
        </w:rPr>
        <w:t xml:space="preserve"> за счет средств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 установленный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государственной стипендии аспирантам, ординаторам, ассистентам-стажерам о</w:t>
      </w:r>
      <w:r>
        <w:rPr>
          <w:rFonts w:ascii="Times New Roman" w:hAnsi="Times New Roman"/>
          <w:sz w:val="28"/>
          <w:szCs w:val="28"/>
        </w:rPr>
        <w:t xml:space="preserve">бразовательных организаций высшего образования, обучающимся по программам подготовки научно-педагогических кадров, </w:t>
      </w:r>
      <w:r>
        <w:rPr>
          <w:rFonts w:ascii="Times New Roman" w:hAnsi="Times New Roman"/>
          <w:sz w:val="28"/>
          <w:szCs w:val="28"/>
        </w:rPr>
        <w:t xml:space="preserve">ординаторы, ассистентуры-стажировки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обучения</w:t>
      </w:r>
      <w:r>
        <w:rPr>
          <w:rFonts w:ascii="Times New Roman" w:hAnsi="Times New Roman"/>
          <w:sz w:val="28"/>
          <w:szCs w:val="28"/>
        </w:rPr>
        <w:t xml:space="preserve"> за счет средств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, установленный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аспирантов, ординаторов, ассистентов-стажеров образовательных организаций высшего образования, обучающихся по программам подготовки научно-педагогических кадров</w:t>
      </w:r>
      <w:r>
        <w:rPr>
          <w:rFonts w:ascii="Times New Roman" w:hAnsi="Times New Roman"/>
          <w:sz w:val="28"/>
          <w:szCs w:val="28"/>
        </w:rPr>
        <w:t xml:space="preserve">, ординаторы, ассистентуры-стажировки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за счет средств бюдже</w:t>
      </w:r>
      <w:r>
        <w:rPr>
          <w:rFonts w:ascii="Times New Roman" w:hAnsi="Times New Roman"/>
          <w:sz w:val="28"/>
          <w:szCs w:val="28"/>
        </w:rPr>
        <w:t xml:space="preserve">та Республики Татарстан за период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асп2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количество аспирантов, ординаторов, ассистентов-стажеров образовательных организаций высшего образования, обучающихся по программам подготовки научно-педагогических кадров</w:t>
      </w:r>
      <w:r>
        <w:rPr>
          <w:rFonts w:ascii="Times New Roman" w:hAnsi="Times New Roman"/>
          <w:sz w:val="28"/>
          <w:szCs w:val="28"/>
        </w:rPr>
        <w:t xml:space="preserve">, ординаторы, ассистентуры-стажировки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за счет средств бюдже</w:t>
      </w:r>
      <w:r>
        <w:rPr>
          <w:rFonts w:ascii="Times New Roman" w:hAnsi="Times New Roman"/>
          <w:sz w:val="28"/>
          <w:szCs w:val="28"/>
        </w:rPr>
        <w:t xml:space="preserve">та Республики Татарстан</w:t>
      </w:r>
      <w:r>
        <w:rPr>
          <w:rFonts w:ascii="Times New Roman" w:hAnsi="Times New Roman"/>
          <w:sz w:val="28"/>
          <w:szCs w:val="28"/>
        </w:rPr>
        <w:t xml:space="preserve"> за период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</w:t>
      </w:r>
      <w:r>
        <w:rPr>
          <w:rFonts w:ascii="Times New Roman" w:hAnsi="Times New Roman"/>
          <w:sz w:val="28"/>
          <w:szCs w:val="28"/>
        </w:rPr>
        <w:t xml:space="preserve">ия стипендиального фонда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академической стипендии,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стипендии студентам профессиональных образовательных организаций и образовательных организаций выс</w:t>
      </w:r>
      <w:r>
        <w:rPr>
          <w:rFonts w:ascii="Times New Roman" w:hAnsi="Times New Roman"/>
          <w:sz w:val="28"/>
          <w:szCs w:val="28"/>
        </w:rPr>
        <w:t xml:space="preserve">шего образования, обучающимся по программам подготовки квалифицированных рабочих, служащих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на базе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 установленный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</w:t>
      </w:r>
      <w:r>
        <w:rPr>
          <w:rFonts w:ascii="Times New Roman" w:hAnsi="Times New Roman"/>
          <w:sz w:val="28"/>
          <w:szCs w:val="28"/>
        </w:rPr>
        <w:t xml:space="preserve">ия стипендиального фонда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академической стипендии,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стипендии студентам профессиональных образовательных организаций и образовательных организаций выс</w:t>
      </w:r>
      <w:r>
        <w:rPr>
          <w:rFonts w:ascii="Times New Roman" w:hAnsi="Times New Roman"/>
          <w:sz w:val="28"/>
          <w:szCs w:val="28"/>
        </w:rPr>
        <w:t xml:space="preserve">шего образования, обучающимся по программам подготовки квалифицированных рабочих, служащих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на базе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установленный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студентов профессиональных образовательных организаций и образовательных организаций высшего образования, обучающихся по программам подготовки квалифицированных рабочих, служащих по очной форме обучения на базе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 студентов указанных образовательных организаций, имеющих право на получение социальной стипендии за период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раб2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количество студентов профессиональных образовательных организаций и образовательных организаций высшего образования, обучающихся по программам подготовки квалифицированных рабочих, служащих по очной форме обучения на базе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, студентов указанных образовательных организаций, имеющих право на получение социальной стипендии за период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</w:t>
      </w:r>
      <w:r>
        <w:rPr>
          <w:rFonts w:ascii="Times New Roman" w:hAnsi="Times New Roman"/>
          <w:sz w:val="28"/>
          <w:szCs w:val="28"/>
        </w:rPr>
        <w:t xml:space="preserve">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 фонда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стипендии аспирантам госуд</w:t>
      </w:r>
      <w:r>
        <w:rPr>
          <w:rFonts w:ascii="Times New Roman" w:hAnsi="Times New Roman"/>
          <w:sz w:val="28"/>
          <w:szCs w:val="28"/>
        </w:rPr>
        <w:t xml:space="preserve">арственных учреждений сферы научных исследований и разработок, обучающимся по программе подготовки научно-педагогических кадров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 установленный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А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норматив </w:t>
      </w:r>
      <w:r>
        <w:rPr>
          <w:rFonts w:ascii="Times New Roman" w:hAnsi="Times New Roman"/>
          <w:sz w:val="28"/>
          <w:szCs w:val="28"/>
        </w:rPr>
        <w:t xml:space="preserve">формирования стипендиального фонда </w:t>
      </w:r>
      <w:r>
        <w:rPr>
          <w:rFonts w:ascii="Times New Roman" w:hAnsi="Times New Roman"/>
          <w:sz w:val="28"/>
          <w:szCs w:val="28"/>
        </w:rPr>
        <w:t xml:space="preserve">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стипендии аспирантам госуд</w:t>
      </w:r>
      <w:r>
        <w:rPr>
          <w:rFonts w:ascii="Times New Roman" w:hAnsi="Times New Roman"/>
          <w:sz w:val="28"/>
          <w:szCs w:val="28"/>
        </w:rPr>
        <w:t xml:space="preserve">арственных учреждений сферы научных исследований и разработок, обучающимся по программе подготовки научно-педагогических кадров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очной форм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 установленный с сентября по декабрь;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нпк1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аспирантов государственных учреждений сферы научных исследований и разработок, обучающихся по программе подготовки научно-педагогических кадров по очной форме обучения за счет средств бюджета Республики Татарстан за пери</w:t>
      </w:r>
      <w:r>
        <w:rPr>
          <w:rFonts w:ascii="Times New Roman" w:hAnsi="Times New Roman"/>
          <w:sz w:val="28"/>
          <w:szCs w:val="28"/>
        </w:rPr>
        <w:t xml:space="preserve">од с января по август;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К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нпк2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количество аспирантов государственных учреждений сферы научных исследований и разработок, обучающихся по программе подготовки научно-педагогических кадров по очной форме обучения за счет средств бюджета Республики Татарстан за пери</w:t>
      </w:r>
      <w:r>
        <w:rPr>
          <w:rFonts w:ascii="Times New Roman" w:hAnsi="Times New Roman"/>
          <w:sz w:val="28"/>
          <w:szCs w:val="28"/>
        </w:rPr>
        <w:t xml:space="preserve">од с сентября по декабрь.</w:t>
      </w:r>
      <w:r>
        <w:rPr>
          <w:rFonts w:ascii="Times New Roman" w:hAnsi="Times New Roman"/>
          <w:sz w:val="28"/>
          <w:szCs w:val="28"/>
          <w:lang w:val="ru-RU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32"/>
        <w:numPr>
          <w:ilvl w:val="0"/>
          <w:numId w:val="1"/>
        </w:numPr>
        <w:pBdr/>
        <w:spacing w:after="0" w:afterAutospacing="0" w:before="0" w:beforeAutospacing="0" w:line="288" w:lineRule="auto"/>
        <w:ind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Установить, что действие настоящего постановления распространяется на правоотношения, возникшие с 1 сентября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22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2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9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944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Правил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формирования стипендиального фонда за счет бюджетных ассигнований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ПКМ № 944)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«Центр экономических и социальных исследований 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рамках приведения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от 25.09.2025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744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образования, получающих образование за счет средств бюджета Республики Татарстан,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ПКМ №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отдельных параметров по расчету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стипендиального фонда 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 по образовательным программам среднего профессионального и (или) высшего образования.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cs="Times New Roman"/>
          <w:sz w:val="28"/>
          <w:szCs w:val="28"/>
        </w:rPr>
      </w:r>
      <w:bookmarkStart w:id="5" w:name="_Hlk172273865"/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NewRoman">
    <w:panose1 w:val="02020603050405020304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3773916"/>
      <w:docPartObj>
        <w:docPartGallery w:val="Page Numbers (Top of Page)"/>
        <w:docPartUnique w:val="true"/>
      </w:docPartObj>
      <w:rPr/>
    </w:sdtPr>
    <w:sdtContent>
      <w:p>
        <w:pPr>
          <w:pStyle w:val="923"/>
          <w:pBdr/>
          <w:spacing/>
          <w:ind/>
          <w:jc w:val="center"/>
          <w:rPr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31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2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17"/>
    <w:next w:val="917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17"/>
    <w:next w:val="917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17"/>
    <w:next w:val="917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17"/>
    <w:next w:val="917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17"/>
    <w:next w:val="917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17"/>
    <w:next w:val="917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17"/>
    <w:next w:val="917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17"/>
    <w:next w:val="917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17"/>
    <w:next w:val="917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18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1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18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18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18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1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18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18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18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7"/>
    <w:next w:val="917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18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7"/>
    <w:next w:val="917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18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7"/>
    <w:next w:val="917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18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7"/>
    <w:next w:val="917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18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7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18"/>
    <w:link w:val="923"/>
    <w:uiPriority w:val="99"/>
    <w:pPr>
      <w:pBdr/>
      <w:spacing/>
      <w:ind/>
    </w:pPr>
  </w:style>
  <w:style w:type="character" w:styleId="897">
    <w:name w:val="Footer Char"/>
    <w:basedOn w:val="918"/>
    <w:link w:val="925"/>
    <w:uiPriority w:val="99"/>
    <w:pPr>
      <w:pBdr/>
      <w:spacing/>
      <w:ind/>
    </w:pPr>
  </w:style>
  <w:style w:type="paragraph" w:styleId="898">
    <w:name w:val="Caption"/>
    <w:basedOn w:val="917"/>
    <w:next w:val="9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7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18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7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18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1"/>
    <w:basedOn w:val="917"/>
    <w:next w:val="917"/>
    <w:uiPriority w:val="39"/>
    <w:unhideWhenUsed/>
    <w:pPr>
      <w:pBdr/>
      <w:spacing w:after="100"/>
      <w:ind/>
    </w:pPr>
  </w:style>
  <w:style w:type="paragraph" w:styleId="907">
    <w:name w:val="toc 2"/>
    <w:basedOn w:val="917"/>
    <w:next w:val="917"/>
    <w:uiPriority w:val="39"/>
    <w:unhideWhenUsed/>
    <w:pPr>
      <w:pBdr/>
      <w:spacing w:after="100"/>
      <w:ind w:left="220"/>
    </w:pPr>
  </w:style>
  <w:style w:type="paragraph" w:styleId="908">
    <w:name w:val="toc 3"/>
    <w:basedOn w:val="917"/>
    <w:next w:val="917"/>
    <w:uiPriority w:val="39"/>
    <w:unhideWhenUsed/>
    <w:pPr>
      <w:pBdr/>
      <w:spacing w:after="100"/>
      <w:ind w:left="440"/>
    </w:pPr>
  </w:style>
  <w:style w:type="paragraph" w:styleId="909">
    <w:name w:val="toc 4"/>
    <w:basedOn w:val="917"/>
    <w:next w:val="917"/>
    <w:uiPriority w:val="39"/>
    <w:unhideWhenUsed/>
    <w:pPr>
      <w:pBdr/>
      <w:spacing w:after="100"/>
      <w:ind w:left="660"/>
    </w:pPr>
  </w:style>
  <w:style w:type="paragraph" w:styleId="910">
    <w:name w:val="toc 5"/>
    <w:basedOn w:val="917"/>
    <w:next w:val="917"/>
    <w:uiPriority w:val="39"/>
    <w:unhideWhenUsed/>
    <w:pPr>
      <w:pBdr/>
      <w:spacing w:after="100"/>
      <w:ind w:left="880"/>
    </w:pPr>
  </w:style>
  <w:style w:type="paragraph" w:styleId="911">
    <w:name w:val="toc 6"/>
    <w:basedOn w:val="917"/>
    <w:next w:val="917"/>
    <w:uiPriority w:val="39"/>
    <w:unhideWhenUsed/>
    <w:pPr>
      <w:pBdr/>
      <w:spacing w:after="100"/>
      <w:ind w:left="1100"/>
    </w:pPr>
  </w:style>
  <w:style w:type="paragraph" w:styleId="912">
    <w:name w:val="toc 7"/>
    <w:basedOn w:val="917"/>
    <w:next w:val="917"/>
    <w:uiPriority w:val="39"/>
    <w:unhideWhenUsed/>
    <w:pPr>
      <w:pBdr/>
      <w:spacing w:after="100"/>
      <w:ind w:left="1320"/>
    </w:pPr>
  </w:style>
  <w:style w:type="paragraph" w:styleId="913">
    <w:name w:val="toc 8"/>
    <w:basedOn w:val="917"/>
    <w:next w:val="917"/>
    <w:uiPriority w:val="39"/>
    <w:unhideWhenUsed/>
    <w:pPr>
      <w:pBdr/>
      <w:spacing w:after="100"/>
      <w:ind w:left="1540"/>
    </w:pPr>
  </w:style>
  <w:style w:type="paragraph" w:styleId="914">
    <w:name w:val="toc 9"/>
    <w:basedOn w:val="917"/>
    <w:next w:val="917"/>
    <w:uiPriority w:val="39"/>
    <w:unhideWhenUsed/>
    <w:pPr>
      <w:pBdr/>
      <w:spacing w:after="100"/>
      <w:ind w:left="1760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paragraph" w:styleId="917" w:default="1">
    <w:name w:val="Normal"/>
    <w:qFormat/>
    <w:pPr>
      <w:pBdr/>
      <w:spacing/>
      <w:ind/>
    </w:p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  <w:style w:type="paragraph" w:styleId="921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22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23">
    <w:name w:val="Header"/>
    <w:basedOn w:val="917"/>
    <w:link w:val="92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4" w:customStyle="1">
    <w:name w:val="Верхний колонтитул Знак"/>
    <w:basedOn w:val="918"/>
    <w:link w:val="923"/>
    <w:uiPriority w:val="99"/>
    <w:pPr>
      <w:pBdr/>
      <w:spacing/>
      <w:ind/>
    </w:pPr>
  </w:style>
  <w:style w:type="paragraph" w:styleId="925">
    <w:name w:val="Footer"/>
    <w:basedOn w:val="917"/>
    <w:link w:val="92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6" w:customStyle="1">
    <w:name w:val="Нижний колонтитул Знак"/>
    <w:basedOn w:val="918"/>
    <w:link w:val="925"/>
    <w:uiPriority w:val="99"/>
    <w:pPr>
      <w:pBdr/>
      <w:spacing/>
      <w:ind/>
    </w:pPr>
  </w:style>
  <w:style w:type="paragraph" w:styleId="927">
    <w:name w:val="List Paragraph"/>
    <w:basedOn w:val="917"/>
    <w:uiPriority w:val="34"/>
    <w:qFormat/>
    <w:pPr>
      <w:pBdr/>
      <w:spacing w:after="200" w:line="276" w:lineRule="auto"/>
      <w:ind w:left="720"/>
      <w:contextualSpacing w:val="true"/>
    </w:pPr>
  </w:style>
  <w:style w:type="paragraph" w:styleId="928">
    <w:name w:val="Balloon Text"/>
    <w:basedOn w:val="917"/>
    <w:link w:val="92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basedOn w:val="918"/>
    <w:link w:val="92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30">
    <w:name w:val="Table Grid"/>
    <w:basedOn w:val="91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Placeholder Text"/>
    <w:basedOn w:val="918"/>
    <w:uiPriority w:val="99"/>
    <w:semiHidden/>
    <w:pPr>
      <w:pBdr/>
      <w:spacing/>
      <w:ind/>
    </w:pPr>
    <w:rPr>
      <w:color w:val="808080"/>
    </w:rPr>
  </w:style>
  <w:style w:type="paragraph" w:styleId="932">
    <w:name w:val="Normal (Web)"/>
    <w:basedOn w:val="91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>
    <w:name w:val="Hyperlink"/>
    <w:basedOn w:val="918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34" w:customStyle="1">
    <w:name w:val="       ConsPlusNormal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5" w:customStyle="1">
    <w:name w:val="Адресат"/>
    <w:basedOn w:val="93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60" w:beforeAutospacing="0" w:line="240" w:lineRule="auto"/>
      <w:ind w:right="0" w:firstLine="0" w:left="7258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7088-61DB-45DF-91D4-3624B8BB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Ильшат Расимович</dc:creator>
  <cp:keywords/>
  <dc:description/>
  <cp:revision>345</cp:revision>
  <dcterms:created xsi:type="dcterms:W3CDTF">2024-05-14T06:04:00Z</dcterms:created>
  <dcterms:modified xsi:type="dcterms:W3CDTF">2025-11-24T07:06:38Z</dcterms:modified>
</cp:coreProperties>
</file>