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53"/>
          <w:tab w:val="left" w:leader="none" w:pos="4536"/>
        </w:tabs>
        <w:spacing w:after="0" w:line="240" w:lineRule="auto"/>
        <w:ind w:right="4961"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нормативных затрат</w:t>
      </w:r>
      <w:r>
        <w:rPr>
          <w:rFonts w:ascii="Times New Roman" w:hAnsi="Times New Roman"/>
          <w:bCs/>
          <w:sz w:val="28"/>
          <w:szCs w:val="28"/>
        </w:rPr>
        <w:t xml:space="preserve">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предоставление </w:t>
      </w:r>
      <w:bookmarkStart w:id="0" w:name="_Hlk149901867"/>
      <w:r>
        <w:rPr>
          <w:rFonts w:ascii="Times New Roman" w:hAnsi="Times New Roman"/>
          <w:sz w:val="28"/>
          <w:szCs w:val="28"/>
          <w:lang w:eastAsia="ru-RU"/>
        </w:rPr>
        <w:t xml:space="preserve">услуги 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подушево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норматив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финансирования на предоставление </w:t>
      </w:r>
      <w:r>
        <w:rPr>
          <w:rFonts w:ascii="Times New Roman" w:hAnsi="Times New Roman"/>
          <w:sz w:val="28"/>
          <w:szCs w:val="28"/>
        </w:rPr>
        <w:t xml:space="preserve">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202</w:t>
      </w:r>
      <w:r>
        <w:rPr>
          <w:rFonts w:ascii="Times New Roman" w:hAnsi="Times New Roman"/>
          <w:bCs/>
          <w:sz w:val="28"/>
          <w:szCs w:val="28"/>
        </w:rPr>
        <w:t xml:space="preserve">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год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 xml:space="preserve">проекта по предоставлению услуги 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в рамках создания системы долговременного ухода за гражданами пожилого возраста и инвалидами в 2025 - 2027 годах»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 </w:t>
      </w:r>
      <w:r>
        <w:rPr>
          <w:rFonts w:ascii="Times New Roman" w:hAnsi="Times New Roman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становит</w:t>
      </w:r>
      <w:r>
        <w:rPr>
          <w:rFonts w:ascii="Times New Roman" w:hAnsi="Times New Roman"/>
          <w:sz w:val="28"/>
          <w:szCs w:val="28"/>
        </w:rPr>
        <w:t xml:space="preserve">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ормативные затраты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услуги «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Помощник по уходу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размере </w:t>
      </w: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 4</w:t>
      </w:r>
      <w:r>
        <w:rPr>
          <w:rFonts w:ascii="Times New Roman" w:hAnsi="Times New Roman"/>
          <w:sz w:val="28"/>
          <w:szCs w:val="28"/>
          <w:highlight w:val="white"/>
        </w:rPr>
        <w:t xml:space="preserve">85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рубл</w:t>
      </w:r>
      <w:r>
        <w:rPr>
          <w:rFonts w:ascii="Times New Roman" w:hAnsi="Times New Roman"/>
          <w:sz w:val="28"/>
          <w:szCs w:val="28"/>
          <w:highlight w:val="white"/>
        </w:rPr>
        <w:t xml:space="preserve">ей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одного получателя </w:t>
      </w:r>
      <w:bookmarkStart w:id="1" w:name="_GoBack"/>
      <w:r>
        <w:rPr>
          <w:highlight w:val="white"/>
        </w:rPr>
      </w:r>
      <w:bookmarkEnd w:id="1"/>
      <w:r>
        <w:rPr>
          <w:rFonts w:ascii="Times New Roman" w:hAnsi="Times New Roman"/>
          <w:sz w:val="28"/>
          <w:szCs w:val="28"/>
          <w:highlight w:val="white"/>
        </w:rPr>
        <w:t xml:space="preserve">в месяц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одушевой</w:t>
      </w:r>
      <w:r>
        <w:rPr>
          <w:rFonts w:ascii="Times New Roman" w:hAnsi="Times New Roman"/>
          <w:sz w:val="28"/>
          <w:szCs w:val="28"/>
          <w:highlight w:val="white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предоставление услуги «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Помощник по уходу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 в размере </w:t>
      </w:r>
      <w:r>
        <w:rPr>
          <w:rFonts w:ascii="Times New Roman" w:hAnsi="Times New Roman"/>
          <w:sz w:val="28"/>
          <w:szCs w:val="28"/>
          <w:highlight w:val="white"/>
        </w:rPr>
        <w:t xml:space="preserve">404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02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рубл</w:t>
      </w:r>
      <w:r>
        <w:rPr>
          <w:rFonts w:ascii="Times New Roman" w:hAnsi="Times New Roman"/>
          <w:sz w:val="28"/>
          <w:szCs w:val="28"/>
          <w:highlight w:val="white"/>
        </w:rPr>
        <w:t xml:space="preserve">ей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 час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. Установить, что настоящ</w:t>
      </w:r>
      <w:r>
        <w:rPr>
          <w:rFonts w:ascii="Times New Roman" w:hAnsi="Times New Roman"/>
          <w:sz w:val="28"/>
          <w:szCs w:val="28"/>
        </w:rPr>
        <w:t xml:space="preserve">ее постановление вступает в силу с 1 января 2026 года.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Кабинета Министров Республики Татарстан от 30.12.2024 № 1276 «О нормативных затратах на предоставление услуги «Помощник по уходу» и подушевом нормативе финансирования на предоставление услуги «</w:t>
      </w:r>
      <w:r>
        <w:rPr>
          <w:rFonts w:ascii="Times New Roman" w:hAnsi="Times New Roman"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на 2025 год»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79"/>
        <w:widowControl w:val="false"/>
        <w:pBdr/>
        <w:spacing w:after="0" w:line="312" w:lineRule="auto"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остановления возложить н</w:t>
      </w:r>
      <w:r>
        <w:rPr>
          <w:rFonts w:ascii="Times New Roman" w:hAnsi="Times New Roman"/>
          <w:sz w:val="28"/>
          <w:szCs w:val="28"/>
        </w:rPr>
        <w:t xml:space="preserve">а Министерство труда, занятости и социальной защиты Республики Татарстан.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spacing w:after="0" w:line="312" w:lineRule="auto"/>
        <w:ind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spacing w:after="0" w:line="312" w:lineRule="auto"/>
        <w:ind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spacing w:after="0" w:line="312" w:lineRule="auto"/>
        <w:ind w:left="0"/>
        <w:contextualSpacing w:val="fals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9"/>
        <w:widowControl w:val="false"/>
        <w:pBdr/>
        <w:tabs>
          <w:tab w:val="left" w:leader="none" w:pos="709"/>
          <w:tab w:val="left" w:leader="none" w:pos="1276"/>
        </w:tabs>
        <w:spacing w:after="0" w:line="312" w:lineRule="auto"/>
        <w:ind w:left="0"/>
        <w:contextualSpacing w:val="false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А.В.Песошин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709"/>
          <w:tab w:val="left" w:leader="none" w:pos="127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510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false"/>
        <w:pBdr/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false"/>
        <w:pBdr/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нормативных затратах на предоставление услуги «</w:t>
      </w:r>
      <w:r>
        <w:rPr>
          <w:rFonts w:ascii="Times New Roman" w:hAnsi="Times New Roman"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 xml:space="preserve">подушевом</w:t>
      </w:r>
      <w:r>
        <w:rPr>
          <w:rFonts w:ascii="Times New Roman" w:hAnsi="Times New Roman"/>
          <w:sz w:val="28"/>
          <w:szCs w:val="28"/>
        </w:rPr>
        <w:t xml:space="preserve"> нормативе финансирования на предоставление услуги «</w:t>
      </w:r>
      <w:r>
        <w:rPr>
          <w:rFonts w:ascii="Times New Roman" w:hAnsi="Times New Roman"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на 2026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false"/>
        <w:pBdr/>
        <w:spacing w:after="0" w:line="312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нормативных затратах на предоставление услуги 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 xml:space="preserve">подушевом</w:t>
      </w:r>
      <w:r>
        <w:rPr>
          <w:rFonts w:ascii="Times New Roman" w:hAnsi="Times New Roman"/>
          <w:sz w:val="28"/>
          <w:szCs w:val="28"/>
        </w:rPr>
        <w:t xml:space="preserve"> нормативе финансирова</w:t>
      </w:r>
      <w:r>
        <w:rPr>
          <w:rFonts w:ascii="Times New Roman" w:hAnsi="Times New Roman"/>
          <w:sz w:val="28"/>
          <w:szCs w:val="28"/>
        </w:rPr>
        <w:t xml:space="preserve">ния на предоставление услуги «</w:t>
      </w:r>
      <w:r>
        <w:rPr>
          <w:rFonts w:ascii="Times New Roman" w:hAnsi="Times New Roman"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на 2026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13.02.2021 № 77 «О мерах по реализации системы долговременного уход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за гражданами пожилого возраста и инвалидами в 2025-2027 годах»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/>
          <w:sz w:val="28"/>
          <w:szCs w:val="28"/>
        </w:rPr>
        <w:t xml:space="preserve">утверждаются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  <w:t xml:space="preserve">на предоставление услуги 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2026 год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подушевой</w:t>
      </w:r>
      <w:r>
        <w:rPr>
          <w:rFonts w:ascii="Times New Roman" w:hAnsi="Times New Roman"/>
          <w:sz w:val="28"/>
          <w:szCs w:val="28"/>
        </w:rPr>
        <w:t xml:space="preserve"> норматив финансирования </w:t>
      </w:r>
      <w:r>
        <w:rPr>
          <w:rFonts w:ascii="Times New Roman" w:hAnsi="Times New Roman"/>
          <w:sz w:val="28"/>
          <w:szCs w:val="28"/>
        </w:rPr>
        <w:t xml:space="preserve">на предоставление услуги «</w:t>
      </w:r>
      <w:r>
        <w:rPr>
          <w:rFonts w:ascii="Times New Roman" w:hAnsi="Times New Roman"/>
          <w:bCs/>
          <w:sz w:val="28"/>
          <w:szCs w:val="28"/>
        </w:rPr>
        <w:t xml:space="preserve">Помощник по уходу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2026 год</w:t>
      </w:r>
      <w:r>
        <w:rPr>
          <w:rFonts w:ascii="Times New Roman" w:hAnsi="Times New Roman"/>
          <w:sz w:val="28"/>
          <w:szCs w:val="28"/>
        </w:rPr>
        <w:t xml:space="preserve">, рассчитанные в </w:t>
      </w:r>
      <w:r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оложением об особенностях установления заработной платы работников по профессии «помощник по уходу» государственных организаций социального обслуживания Республики Татарстан, оказывающих при реализации в 2025 - 2027 годах пилотного проекта по созданию сист</w:t>
      </w:r>
      <w:r>
        <w:rPr>
          <w:rFonts w:ascii="Times New Roman" w:hAnsi="Times New Roman"/>
          <w:sz w:val="28"/>
          <w:szCs w:val="28"/>
        </w:rPr>
        <w:t xml:space="preserve">емы долговременного ухода за гражданами пожилого возраста и инвалидами в Республике Татарстан социальные услуги гражданам, нуждающимся в уходе, в форме социального обслуживания на дому, утвержденного </w:t>
      </w:r>
      <w:r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31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2021 № 198 </w:t>
      </w:r>
      <w:r>
        <w:rPr>
          <w:rFonts w:ascii="Times New Roman" w:hAnsi="Times New Roman"/>
          <w:sz w:val="28"/>
          <w:szCs w:val="28"/>
        </w:rPr>
        <w:t xml:space="preserve">«О реализации пилотного проекта по созданию системы долговременного ухода за гражданами пожилого возраста и инвалидами в Республике Татарстан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соответствии с пунктом 3 Порядка утверждения тарифов на социальные услуги на основании подушевых нормативов финансирования социальных услуг в Республике Татарстан, утвержденного постановлением Кабинета Министров Республики Татарстан  от 18.12.2014 № 999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 утверждении Порядка утверждения тарифов на социальные услуги на основании подушевых нормативов финансирования социальных услуг в Республике Татарстан», тарифы на социальные услуги формируются на уровне подушевых нормативов финансирования социальных услуг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Кабинета Министров Республики Татарстан не потребует выделение дополнительных финансовых средств из бюджета Республики Татарстан.</w:t>
      </w:r>
      <w:r>
        <w:rPr>
          <w:rFonts w:ascii="Times New Roman" w:hAnsi="Times New Roman"/>
          <w:sz w:val="28"/>
          <w:szCs w:val="28"/>
        </w:rPr>
      </w:r>
      <w:r/>
    </w:p>
    <w:p>
      <w:pPr>
        <w:widowControl w:val="false"/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 отсутствует.</w:t>
      </w:r>
      <w:r>
        <w:rPr>
          <w:rFonts w:ascii="Times New Roman" w:hAnsi="Times New Roman"/>
          <w:sz w:val="28"/>
          <w:szCs w:val="28"/>
        </w:rPr>
      </w:r>
      <w:r/>
    </w:p>
    <w:p>
      <w:pPr>
        <w:widowControl w:val="false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709" w:footer="68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9439256"/>
      <w:docPartObj>
        <w:docPartGallery w:val="Page Numbers (Top of Page)"/>
        <w:docPartUnique w:val="true"/>
      </w:docPartObj>
      <w:rPr/>
    </w:sdtPr>
    <w:sdtContent>
      <w:p>
        <w:pPr>
          <w:pStyle w:val="982"/>
          <w:pBdr/>
          <w:spacing/>
          <w:ind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ru-RU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9"/>
  </w:num>
  <w:num w:numId="5">
    <w:abstractNumId w:val="11"/>
  </w:num>
  <w:num w:numId="6">
    <w:abstractNumId w:val="19"/>
  </w:num>
  <w:num w:numId="7">
    <w:abstractNumId w:val="13"/>
  </w:num>
  <w:num w:numId="8">
    <w:abstractNumId w:val="27"/>
  </w:num>
  <w:num w:numId="9">
    <w:abstractNumId w:val="20"/>
  </w:num>
  <w:num w:numId="10">
    <w:abstractNumId w:val="22"/>
  </w:num>
  <w:num w:numId="11">
    <w:abstractNumId w:val="29"/>
  </w:num>
  <w:num w:numId="12">
    <w:abstractNumId w:val="4"/>
  </w:num>
  <w:num w:numId="13">
    <w:abstractNumId w:val="2"/>
  </w:num>
  <w:num w:numId="14">
    <w:abstractNumId w:val="30"/>
  </w:num>
  <w:num w:numId="15">
    <w:abstractNumId w:val="14"/>
  </w:num>
  <w:num w:numId="16">
    <w:abstractNumId w:val="3"/>
  </w:num>
  <w:num w:numId="17">
    <w:abstractNumId w:val="26"/>
  </w:num>
  <w:num w:numId="18">
    <w:abstractNumId w:val="25"/>
  </w:num>
  <w:num w:numId="19">
    <w:abstractNumId w:val="23"/>
  </w:num>
  <w:num w:numId="20">
    <w:abstractNumId w:val="17"/>
  </w:num>
  <w:num w:numId="21">
    <w:abstractNumId w:val="28"/>
  </w:num>
  <w:num w:numId="22">
    <w:abstractNumId w:val="0"/>
  </w:num>
  <w:num w:numId="23">
    <w:abstractNumId w:val="21"/>
  </w:num>
  <w:num w:numId="24">
    <w:abstractNumId w:val="6"/>
  </w:num>
  <w:num w:numId="25">
    <w:abstractNumId w:val="5"/>
  </w:num>
  <w:num w:numId="26">
    <w:abstractNumId w:val="18"/>
  </w:num>
  <w:num w:numId="27">
    <w:abstractNumId w:val="24"/>
  </w:num>
  <w:num w:numId="28">
    <w:abstractNumId w:val="7"/>
  </w:num>
  <w:num w:numId="29">
    <w:abstractNumId w:val="8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 Light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9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1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2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3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4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5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6"/>
    <w:basedOn w:val="9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1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2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3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4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5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6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1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2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3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4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5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6"/>
    <w:basedOn w:val="9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Heading 1"/>
    <w:basedOn w:val="975"/>
    <w:next w:val="975"/>
    <w:link w:val="9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1">
    <w:name w:val="Heading 2"/>
    <w:basedOn w:val="975"/>
    <w:next w:val="975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2">
    <w:name w:val="Heading 3"/>
    <w:basedOn w:val="975"/>
    <w:next w:val="975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3">
    <w:name w:val="Heading 4"/>
    <w:basedOn w:val="975"/>
    <w:next w:val="975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4">
    <w:name w:val="Heading 5"/>
    <w:basedOn w:val="975"/>
    <w:next w:val="975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5">
    <w:name w:val="Heading 6"/>
    <w:basedOn w:val="975"/>
    <w:next w:val="975"/>
    <w:link w:val="9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6">
    <w:name w:val="Heading 7"/>
    <w:basedOn w:val="975"/>
    <w:next w:val="975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7">
    <w:name w:val="Heading 8"/>
    <w:basedOn w:val="975"/>
    <w:next w:val="975"/>
    <w:link w:val="9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8">
    <w:name w:val="Heading 9"/>
    <w:basedOn w:val="975"/>
    <w:next w:val="975"/>
    <w:link w:val="9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9">
    <w:name w:val="Heading 1 Char"/>
    <w:basedOn w:val="976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0">
    <w:name w:val="Heading 2 Char"/>
    <w:basedOn w:val="976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1">
    <w:name w:val="Heading 3 Char"/>
    <w:basedOn w:val="976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2">
    <w:name w:val="Heading 4 Char"/>
    <w:basedOn w:val="976"/>
    <w:link w:val="9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3">
    <w:name w:val="Heading 5 Char"/>
    <w:basedOn w:val="976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4">
    <w:name w:val="Heading 6 Char"/>
    <w:basedOn w:val="976"/>
    <w:link w:val="9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5">
    <w:name w:val="Heading 7 Char"/>
    <w:basedOn w:val="976"/>
    <w:link w:val="9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6">
    <w:name w:val="Heading 8 Char"/>
    <w:basedOn w:val="976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7">
    <w:name w:val="Heading 9 Char"/>
    <w:basedOn w:val="976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Title"/>
    <w:basedOn w:val="975"/>
    <w:next w:val="975"/>
    <w:link w:val="9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9">
    <w:name w:val="Title Char"/>
    <w:basedOn w:val="976"/>
    <w:link w:val="9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0">
    <w:name w:val="Subtitle"/>
    <w:basedOn w:val="975"/>
    <w:next w:val="975"/>
    <w:link w:val="9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1">
    <w:name w:val="Subtitle Char"/>
    <w:basedOn w:val="976"/>
    <w:link w:val="9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2">
    <w:name w:val="Quote"/>
    <w:basedOn w:val="975"/>
    <w:next w:val="975"/>
    <w:link w:val="9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3">
    <w:name w:val="Quote Char"/>
    <w:basedOn w:val="976"/>
    <w:link w:val="9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Intense Emphasis"/>
    <w:basedOn w:val="9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5">
    <w:name w:val="Intense Quote"/>
    <w:basedOn w:val="975"/>
    <w:next w:val="975"/>
    <w:link w:val="94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6">
    <w:name w:val="Intense Quote Char"/>
    <w:basedOn w:val="976"/>
    <w:link w:val="9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7">
    <w:name w:val="Intense Reference"/>
    <w:basedOn w:val="9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8">
    <w:name w:val="No Spacing"/>
    <w:basedOn w:val="975"/>
    <w:uiPriority w:val="1"/>
    <w:qFormat/>
    <w:pPr>
      <w:pBdr/>
      <w:spacing w:after="0" w:line="240" w:lineRule="auto"/>
      <w:ind/>
    </w:pPr>
  </w:style>
  <w:style w:type="character" w:styleId="949">
    <w:name w:val="Subtle Emphasis"/>
    <w:basedOn w:val="9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0">
    <w:name w:val="Emphasis"/>
    <w:basedOn w:val="976"/>
    <w:uiPriority w:val="20"/>
    <w:qFormat/>
    <w:pPr>
      <w:pBdr/>
      <w:spacing/>
      <w:ind/>
    </w:pPr>
    <w:rPr>
      <w:i/>
      <w:iCs/>
    </w:rPr>
  </w:style>
  <w:style w:type="character" w:styleId="951">
    <w:name w:val="Strong"/>
    <w:basedOn w:val="976"/>
    <w:uiPriority w:val="22"/>
    <w:qFormat/>
    <w:pPr>
      <w:pBdr/>
      <w:spacing/>
      <w:ind/>
    </w:pPr>
    <w:rPr>
      <w:b/>
      <w:bCs/>
    </w:rPr>
  </w:style>
  <w:style w:type="character" w:styleId="952">
    <w:name w:val="Subtle Reference"/>
    <w:basedOn w:val="9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97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4">
    <w:name w:val="Header Char"/>
    <w:basedOn w:val="976"/>
    <w:link w:val="982"/>
    <w:uiPriority w:val="99"/>
    <w:pPr>
      <w:pBdr/>
      <w:spacing/>
      <w:ind/>
    </w:pPr>
  </w:style>
  <w:style w:type="character" w:styleId="955">
    <w:name w:val="Footer Char"/>
    <w:basedOn w:val="976"/>
    <w:link w:val="984"/>
    <w:uiPriority w:val="99"/>
    <w:pPr>
      <w:pBdr/>
      <w:spacing/>
      <w:ind/>
    </w:pPr>
  </w:style>
  <w:style w:type="paragraph" w:styleId="956">
    <w:name w:val="Caption"/>
    <w:basedOn w:val="975"/>
    <w:next w:val="9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7">
    <w:name w:val="footnote text"/>
    <w:basedOn w:val="975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>
    <w:name w:val="Footnote Text Char"/>
    <w:basedOn w:val="976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976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975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>
    <w:name w:val="Endnote Text Char"/>
    <w:basedOn w:val="976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976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FollowedHyperlink"/>
    <w:basedOn w:val="9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4">
    <w:name w:val="toc 1"/>
    <w:basedOn w:val="975"/>
    <w:next w:val="975"/>
    <w:uiPriority w:val="39"/>
    <w:unhideWhenUsed/>
    <w:pPr>
      <w:pBdr/>
      <w:spacing w:after="100"/>
      <w:ind/>
    </w:pPr>
  </w:style>
  <w:style w:type="paragraph" w:styleId="965">
    <w:name w:val="toc 2"/>
    <w:basedOn w:val="975"/>
    <w:next w:val="975"/>
    <w:uiPriority w:val="39"/>
    <w:unhideWhenUsed/>
    <w:pPr>
      <w:pBdr/>
      <w:spacing w:after="100"/>
      <w:ind w:left="220"/>
    </w:pPr>
  </w:style>
  <w:style w:type="paragraph" w:styleId="966">
    <w:name w:val="toc 3"/>
    <w:basedOn w:val="975"/>
    <w:next w:val="975"/>
    <w:uiPriority w:val="39"/>
    <w:unhideWhenUsed/>
    <w:pPr>
      <w:pBdr/>
      <w:spacing w:after="100"/>
      <w:ind w:left="440"/>
    </w:pPr>
  </w:style>
  <w:style w:type="paragraph" w:styleId="967">
    <w:name w:val="toc 4"/>
    <w:basedOn w:val="975"/>
    <w:next w:val="975"/>
    <w:uiPriority w:val="39"/>
    <w:unhideWhenUsed/>
    <w:pPr>
      <w:pBdr/>
      <w:spacing w:after="100"/>
      <w:ind w:left="660"/>
    </w:pPr>
  </w:style>
  <w:style w:type="paragraph" w:styleId="968">
    <w:name w:val="toc 5"/>
    <w:basedOn w:val="975"/>
    <w:next w:val="975"/>
    <w:uiPriority w:val="39"/>
    <w:unhideWhenUsed/>
    <w:pPr>
      <w:pBdr/>
      <w:spacing w:after="100"/>
      <w:ind w:left="880"/>
    </w:pPr>
  </w:style>
  <w:style w:type="paragraph" w:styleId="969">
    <w:name w:val="toc 6"/>
    <w:basedOn w:val="975"/>
    <w:next w:val="975"/>
    <w:uiPriority w:val="39"/>
    <w:unhideWhenUsed/>
    <w:pPr>
      <w:pBdr/>
      <w:spacing w:after="100"/>
      <w:ind w:left="1100"/>
    </w:pPr>
  </w:style>
  <w:style w:type="paragraph" w:styleId="970">
    <w:name w:val="toc 7"/>
    <w:basedOn w:val="975"/>
    <w:next w:val="975"/>
    <w:uiPriority w:val="39"/>
    <w:unhideWhenUsed/>
    <w:pPr>
      <w:pBdr/>
      <w:spacing w:after="100"/>
      <w:ind w:left="1320"/>
    </w:pPr>
  </w:style>
  <w:style w:type="paragraph" w:styleId="971">
    <w:name w:val="toc 8"/>
    <w:basedOn w:val="975"/>
    <w:next w:val="975"/>
    <w:uiPriority w:val="39"/>
    <w:unhideWhenUsed/>
    <w:pPr>
      <w:pBdr/>
      <w:spacing w:after="100"/>
      <w:ind w:left="1540"/>
    </w:pPr>
  </w:style>
  <w:style w:type="paragraph" w:styleId="972">
    <w:name w:val="toc 9"/>
    <w:basedOn w:val="975"/>
    <w:next w:val="975"/>
    <w:uiPriority w:val="39"/>
    <w:unhideWhenUsed/>
    <w:pPr>
      <w:pBdr/>
      <w:spacing w:after="100"/>
      <w:ind w:left="1760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table of figures"/>
    <w:basedOn w:val="975"/>
    <w:next w:val="975"/>
    <w:uiPriority w:val="99"/>
    <w:unhideWhenUsed/>
    <w:pPr>
      <w:pBdr/>
      <w:spacing w:after="0" w:afterAutospacing="0"/>
      <w:ind/>
    </w:pPr>
  </w:style>
  <w:style w:type="paragraph" w:styleId="975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976" w:default="1">
    <w:name w:val="Default Paragraph Font"/>
    <w:uiPriority w:val="1"/>
    <w:semiHidden/>
    <w:unhideWhenUsed/>
    <w:pPr>
      <w:pBdr/>
      <w:spacing/>
      <w:ind/>
    </w:pPr>
  </w:style>
  <w:style w:type="table" w:styleId="9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8" w:default="1">
    <w:name w:val="No List"/>
    <w:uiPriority w:val="99"/>
    <w:semiHidden/>
    <w:unhideWhenUsed/>
    <w:pPr>
      <w:pBdr/>
      <w:spacing/>
      <w:ind/>
    </w:pPr>
  </w:style>
  <w:style w:type="paragraph" w:styleId="979">
    <w:name w:val="List Paragraph"/>
    <w:basedOn w:val="975"/>
    <w:uiPriority w:val="34"/>
    <w:qFormat/>
    <w:pPr>
      <w:pBdr/>
      <w:spacing/>
      <w:ind w:left="720"/>
      <w:contextualSpacing w:val="true"/>
    </w:pPr>
  </w:style>
  <w:style w:type="table" w:styleId="980">
    <w:name w:val="Table Grid"/>
    <w:basedOn w:val="97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982">
    <w:name w:val="Header"/>
    <w:basedOn w:val="975"/>
    <w:link w:val="98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983" w:customStyle="1">
    <w:name w:val="Верхний колонтитул Знак"/>
    <w:link w:val="982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84">
    <w:name w:val="Footer"/>
    <w:basedOn w:val="975"/>
    <w:link w:val="98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5" w:customStyle="1">
    <w:name w:val="Нижний колонтитул Знак"/>
    <w:basedOn w:val="976"/>
    <w:link w:val="984"/>
    <w:uiPriority w:val="99"/>
    <w:pPr>
      <w:pBdr/>
      <w:spacing/>
      <w:ind/>
    </w:pPr>
  </w:style>
  <w:style w:type="paragraph" w:styleId="986">
    <w:name w:val="Balloon Text"/>
    <w:basedOn w:val="975"/>
    <w:link w:val="987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987" w:customStyle="1">
    <w:name w:val="Текст выноски Знак"/>
    <w:link w:val="98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8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989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9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991" w:customStyle="1">
    <w:name w:val="Сетка таблицы1"/>
    <w:basedOn w:val="977"/>
    <w:next w:val="980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2">
    <w:name w:val="Placeholder Text"/>
    <w:basedOn w:val="976"/>
    <w:uiPriority w:val="99"/>
    <w:semiHidden/>
    <w:pPr>
      <w:pBdr/>
      <w:spacing/>
      <w:ind/>
    </w:pPr>
    <w:rPr>
      <w:color w:val="808080"/>
    </w:rPr>
  </w:style>
  <w:style w:type="paragraph" w:styleId="993" w:customStyle="1">
    <w:name w:val="ConsPlusTitle"/>
    <w:pPr>
      <w:widowControl w:val="false"/>
      <w:pBdr/>
      <w:spacing/>
      <w:ind/>
    </w:pPr>
    <w:rPr>
      <w:rFonts w:cs="Calibri" w:eastAsiaTheme="minorEastAsia"/>
      <w:b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FDA1-86A2-4340-B06F-332DB8E0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37</cp:revision>
  <dcterms:created xsi:type="dcterms:W3CDTF">2023-11-03T08:54:00Z</dcterms:created>
  <dcterms:modified xsi:type="dcterms:W3CDTF">2025-12-01T08:19:41Z</dcterms:modified>
</cp:coreProperties>
</file>