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1"/>
        <w:widowControl w:val="false"/>
        <w:pBdr/>
        <w:spacing w:line="240" w:lineRule="auto"/>
        <w:ind/>
        <w:jc w:val="right"/>
        <w:rPr>
          <w:szCs w:val="28"/>
        </w:rPr>
      </w:pPr>
      <w:r>
        <w:rPr>
          <w:szCs w:val="28"/>
        </w:rPr>
        <w:t xml:space="preserve">Проект</w:t>
      </w:r>
      <w:r>
        <w:rPr>
          <w:szCs w:val="28"/>
        </w:rPr>
      </w:r>
      <w:r>
        <w:rPr>
          <w:szCs w:val="28"/>
        </w:rPr>
      </w:r>
    </w:p>
    <w:p>
      <w:pPr>
        <w:pStyle w:val="944"/>
        <w:pBdr/>
        <w:spacing w:line="240" w:lineRule="auto"/>
        <w:ind w:right="221" w:firstLine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</w:r>
      <w:r>
        <w:rPr>
          <w:b w:val="0"/>
          <w:bCs/>
          <w:sz w:val="28"/>
          <w:szCs w:val="28"/>
        </w:rPr>
      </w:r>
      <w:r>
        <w:rPr>
          <w:b w:val="0"/>
          <w:bCs/>
          <w:sz w:val="28"/>
          <w:szCs w:val="28"/>
        </w:rPr>
      </w:r>
    </w:p>
    <w:p>
      <w:pPr>
        <w:pStyle w:val="931"/>
        <w:pBdr/>
        <w:spacing w:line="240" w:lineRule="auto"/>
        <w:ind w:right="0" w:firstLine="0" w:left="0"/>
        <w:jc w:val="center"/>
        <w:rPr>
          <w:rFonts w:eastAsia="Calibri"/>
        </w:rPr>
      </w:pPr>
      <w:r>
        <w:rPr>
          <w:rFonts w:eastAsia="Calibri"/>
        </w:rPr>
        <w:t xml:space="preserve">КАБИНЕТ МИНИСТРОВ РЕСПУБЛИКИ ТАТАРСТАН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31"/>
        <w:pBdr/>
        <w:spacing w:line="240" w:lineRule="auto"/>
        <w:ind w:right="0" w:firstLine="0" w:left="0"/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931"/>
        <w:pBdr/>
        <w:spacing w:line="240" w:lineRule="auto"/>
        <w:ind w:right="0" w:firstLine="0" w:left="0"/>
        <w:jc w:val="center"/>
        <w:rPr>
          <w:rFonts w:eastAsia="Calibri"/>
        </w:rPr>
      </w:pPr>
      <w:r>
        <w:rPr>
          <w:rFonts w:eastAsia="Calibri"/>
        </w:rPr>
        <w:t xml:space="preserve">ПОСТАНОВЛЕНИЕ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31"/>
        <w:pBdr/>
        <w:spacing w:line="240" w:lineRule="auto"/>
        <w:ind/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931"/>
        <w:pBdr/>
        <w:spacing w:line="240" w:lineRule="auto"/>
        <w:ind/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931"/>
        <w:pBdr/>
        <w:spacing w:line="240" w:lineRule="auto"/>
        <w:ind/>
        <w:jc w:val="center"/>
        <w:rPr>
          <w:rFonts w:eastAsia="Calibri"/>
        </w:rPr>
      </w:pPr>
      <w:r>
        <w:rPr>
          <w:rFonts w:eastAsia="Calibri"/>
        </w:rPr>
        <w:t xml:space="preserve">«___» _______ 2025 г.</w:t>
        <w:tab/>
        <w:tab/>
        <w:t xml:space="preserve">                         </w:t>
        <w:tab/>
        <w:tab/>
        <w:tab/>
        <w:tab/>
        <w:tab/>
        <w:tab/>
        <w:t xml:space="preserve">№ ___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31"/>
        <w:pBdr/>
        <w:spacing w:line="240" w:lineRule="auto"/>
        <w:ind w:firstLine="0"/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931"/>
        <w:pBdr/>
        <w:spacing w:line="240" w:lineRule="auto"/>
        <w:ind w:firstLine="0"/>
        <w:jc w:val="center"/>
        <w:rPr>
          <w:rFonts w:eastAsia="Calibri"/>
        </w:rPr>
      </w:pPr>
      <w:r>
        <w:rPr>
          <w:rFonts w:eastAsia="Calibri"/>
        </w:rPr>
        <w:t xml:space="preserve">г. Казань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31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810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931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810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931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4961" w:firstLine="0" w:left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предельной себестоимости 1 километра пробега в разрезе класса автобусов 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931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1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1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6"/>
        <w:pBdr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целях организации перевозок пассажиров и багажа по муниципальным маршрутам регулярных перевозок между поселениями в границах одного муниципального района по регулируемым тарифа</w:t>
      </w:r>
      <w:r>
        <w:rPr>
          <w:szCs w:val="28"/>
        </w:rPr>
        <w:t xml:space="preserve">м, а также для учета при формировании межбюджетных отношений в Республике Татарстан </w:t>
      </w:r>
      <w:r>
        <w:rPr>
          <w:szCs w:val="28"/>
        </w:rPr>
        <w:t xml:space="preserve">Кабинет Министров Республики Татарстан ПОСТАНОВЛЯЕТ:</w:t>
      </w:r>
      <w:r>
        <w:rPr>
          <w:szCs w:val="28"/>
        </w:rPr>
      </w:r>
      <w:r>
        <w:rPr>
          <w:szCs w:val="28"/>
        </w:rPr>
      </w:r>
    </w:p>
    <w:p>
      <w:pPr>
        <w:pStyle w:val="946"/>
        <w:numPr>
          <w:ilvl w:val="0"/>
          <w:numId w:val="2"/>
        </w:numPr>
        <w:pBdr/>
        <w:spacing w:line="360" w:lineRule="auto"/>
        <w:ind w:firstLine="709" w:left="0"/>
        <w:jc w:val="both"/>
        <w:rPr>
          <w:szCs w:val="28"/>
        </w:rPr>
      </w:pPr>
      <w:r>
        <w:rPr>
          <w:szCs w:val="28"/>
        </w:rPr>
        <w:t xml:space="preserve">Утвердить прилагаемую предельную себестоимость 1 километра пробега в разрезе класса автобусов. </w:t>
      </w:r>
      <w:r>
        <w:rPr>
          <w:szCs w:val="28"/>
        </w:rPr>
      </w:r>
      <w:r>
        <w:rPr>
          <w:szCs w:val="28"/>
        </w:rPr>
      </w:r>
    </w:p>
    <w:p>
      <w:pPr>
        <w:pStyle w:val="946"/>
        <w:numPr>
          <w:ilvl w:val="0"/>
          <w:numId w:val="2"/>
        </w:numPr>
        <w:pBdr/>
        <w:spacing w:after="0" w:before="200" w:line="360" w:lineRule="auto"/>
        <w:ind w:firstLine="709" w:left="0"/>
        <w:jc w:val="both"/>
        <w:rPr>
          <w:szCs w:val="28"/>
        </w:rPr>
      </w:pPr>
      <w:r>
        <w:rPr>
          <w:szCs w:val="28"/>
        </w:rPr>
        <w:t xml:space="preserve">Признать утратившим силу постановление Кабинета Министров Республики Татарстан от 27.12.2024 №1221 «О предельной себестоимости 1 километра пробега в разрезе класса автобусов».</w:t>
      </w:r>
      <w:r>
        <w:rPr>
          <w:szCs w:val="28"/>
        </w:rPr>
      </w:r>
      <w:r>
        <w:rPr>
          <w:szCs w:val="28"/>
        </w:rPr>
      </w:r>
    </w:p>
    <w:p>
      <w:pPr>
        <w:pStyle w:val="946"/>
        <w:numPr>
          <w:ilvl w:val="0"/>
          <w:numId w:val="2"/>
        </w:numPr>
        <w:pBdr/>
        <w:spacing w:after="0" w:before="200" w:line="360" w:lineRule="auto"/>
        <w:ind w:firstLine="709" w:left="0"/>
        <w:jc w:val="both"/>
        <w:rPr>
          <w:szCs w:val="28"/>
        </w:rPr>
      </w:pPr>
      <w:r>
        <w:rPr>
          <w:szCs w:val="28"/>
        </w:rPr>
        <w:t xml:space="preserve">Установить, что настоящее постановление вступает в силу с 1 января 2026 года.</w:t>
      </w:r>
      <w:r>
        <w:rPr>
          <w:szCs w:val="28"/>
        </w:rPr>
      </w:r>
      <w:r>
        <w:rPr>
          <w:szCs w:val="28"/>
        </w:rPr>
      </w:r>
    </w:p>
    <w:p>
      <w:pPr>
        <w:pStyle w:val="946"/>
        <w:pBdr/>
        <w:tabs>
          <w:tab w:val="clear" w:leader="none" w:pos="708"/>
          <w:tab w:val="left" w:leader="none" w:pos="924"/>
        </w:tabs>
        <w:spacing w:line="360" w:lineRule="auto"/>
        <w:ind w:firstLine="709"/>
        <w:jc w:val="both"/>
        <w:rPr/>
      </w:pPr>
      <w:r/>
      <w:r/>
    </w:p>
    <w:p>
      <w:pPr>
        <w:pStyle w:val="931"/>
        <w:widowControl w:val="false"/>
        <w:pBdr/>
        <w:spacing w:line="264" w:lineRule="auto"/>
        <w:ind/>
        <w:jc w:val="left"/>
        <w:rPr>
          <w:szCs w:val="28"/>
        </w:rPr>
      </w:pPr>
      <w:r>
        <w:rPr>
          <w:szCs w:val="28"/>
        </w:rPr>
        <w:t xml:space="preserve">Премьер-министр</w:t>
      </w:r>
      <w:r>
        <w:rPr>
          <w:szCs w:val="28"/>
        </w:rPr>
      </w:r>
      <w:r>
        <w:rPr>
          <w:szCs w:val="28"/>
        </w:rPr>
      </w:r>
    </w:p>
    <w:p>
      <w:pPr>
        <w:pStyle w:val="931"/>
        <w:widowControl w:val="false"/>
        <w:pBdr/>
        <w:spacing w:line="264" w:lineRule="auto"/>
        <w:ind/>
        <w:jc w:val="left"/>
        <w:rPr>
          <w:szCs w:val="28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5" w:right="567" w:bottom="1134" w:left="1134" w:header="709" w:footer="0" w:gutter="0"/>
          <w:cols w:num="1" w:sep="0" w:space="1701" w:equalWidth="1"/>
        </w:sectPr>
      </w:pPr>
      <w:r>
        <w:rPr>
          <w:szCs w:val="28"/>
        </w:rPr>
        <w:t xml:space="preserve">Республики Татарстан</w:t>
        <w:tab/>
        <w:tab/>
        <w:tab/>
        <w:tab/>
        <w:tab/>
        <w:tab/>
        <w:tab/>
        <w:tab/>
        <w:t xml:space="preserve">          А.В.Песошин</w:t>
      </w:r>
      <w:r>
        <w:rPr>
          <w:szCs w:val="28"/>
        </w:rPr>
      </w:r>
      <w:r>
        <w:rPr>
          <w:szCs w:val="28"/>
        </w:rPr>
      </w:r>
    </w:p>
    <w:p>
      <w:pPr>
        <w:pStyle w:val="946"/>
        <w:pBdr/>
        <w:tabs>
          <w:tab w:val="clear" w:leader="none" w:pos="708"/>
          <w:tab w:val="left" w:leader="none" w:pos="924"/>
        </w:tabs>
        <w:spacing w:line="276" w:lineRule="auto"/>
        <w:ind w:right="0" w:firstLine="5953" w:left="0"/>
        <w:jc w:val="right"/>
        <w:rPr>
          <w:szCs w:val="28"/>
        </w:rPr>
      </w:pPr>
      <w:r>
        <w:rPr>
          <w:szCs w:val="28"/>
        </w:rPr>
        <w:t xml:space="preserve">Утвержден</w:t>
      </w:r>
      <w:r>
        <w:rPr>
          <w:szCs w:val="28"/>
        </w:rPr>
        <w:t xml:space="preserve">а</w:t>
      </w:r>
      <w:r>
        <w:rPr>
          <w:szCs w:val="28"/>
        </w:rPr>
      </w:r>
      <w:r>
        <w:rPr>
          <w:szCs w:val="28"/>
        </w:rPr>
      </w:r>
    </w:p>
    <w:p>
      <w:pPr>
        <w:pStyle w:val="946"/>
        <w:pBdr/>
        <w:tabs>
          <w:tab w:val="clear" w:leader="none" w:pos="708"/>
          <w:tab w:val="left" w:leader="none" w:pos="924"/>
        </w:tabs>
        <w:spacing w:line="276" w:lineRule="auto"/>
        <w:ind w:right="0" w:firstLine="5953" w:left="0"/>
        <w:jc w:val="right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постановлением</w:t>
      </w:r>
      <w:r>
        <w:rPr>
          <w:szCs w:val="28"/>
        </w:rPr>
      </w:r>
      <w:r>
        <w:rPr>
          <w:szCs w:val="28"/>
        </w:rPr>
      </w:r>
    </w:p>
    <w:p>
      <w:pPr>
        <w:pStyle w:val="946"/>
        <w:pBdr/>
        <w:tabs>
          <w:tab w:val="clear" w:leader="none" w:pos="708"/>
          <w:tab w:val="left" w:leader="none" w:pos="924"/>
        </w:tabs>
        <w:spacing w:line="276" w:lineRule="auto"/>
        <w:ind w:right="0" w:firstLine="5953" w:left="0"/>
        <w:jc w:val="right"/>
        <w:rPr>
          <w:szCs w:val="28"/>
        </w:rPr>
      </w:pPr>
      <w:r>
        <w:rPr>
          <w:szCs w:val="28"/>
        </w:rPr>
        <w:t xml:space="preserve">Кабинета Министров</w:t>
      </w:r>
      <w:r>
        <w:rPr>
          <w:szCs w:val="28"/>
        </w:rPr>
      </w:r>
      <w:r>
        <w:rPr>
          <w:szCs w:val="28"/>
        </w:rPr>
      </w:r>
    </w:p>
    <w:p>
      <w:pPr>
        <w:pStyle w:val="946"/>
        <w:pBdr/>
        <w:tabs>
          <w:tab w:val="clear" w:leader="none" w:pos="708"/>
          <w:tab w:val="left" w:leader="none" w:pos="924"/>
        </w:tabs>
        <w:spacing w:line="276" w:lineRule="auto"/>
        <w:ind w:right="0" w:firstLine="5953" w:left="0"/>
        <w:jc w:val="right"/>
        <w:rPr>
          <w:szCs w:val="28"/>
        </w:rPr>
      </w:pPr>
      <w:r>
        <w:rPr>
          <w:szCs w:val="28"/>
        </w:rPr>
        <w:t xml:space="preserve">Республики Татарстан</w:t>
      </w:r>
      <w:r>
        <w:rPr>
          <w:szCs w:val="28"/>
        </w:rPr>
      </w:r>
      <w:r>
        <w:rPr>
          <w:szCs w:val="28"/>
        </w:rPr>
      </w:r>
    </w:p>
    <w:p>
      <w:pPr>
        <w:pStyle w:val="946"/>
        <w:pBdr/>
        <w:tabs>
          <w:tab w:val="clear" w:leader="none" w:pos="708"/>
          <w:tab w:val="left" w:leader="none" w:pos="924"/>
        </w:tabs>
        <w:spacing w:line="276" w:lineRule="auto"/>
        <w:ind w:right="0" w:firstLine="5953" w:left="0"/>
        <w:jc w:val="right"/>
        <w:rPr>
          <w:szCs w:val="28"/>
        </w:rPr>
      </w:pPr>
      <w:r>
        <w:rPr>
          <w:szCs w:val="28"/>
        </w:rPr>
        <w:t xml:space="preserve">от «___» _________2025 №_____</w:t>
      </w:r>
      <w:r>
        <w:rPr>
          <w:szCs w:val="28"/>
        </w:rPr>
      </w:r>
      <w:r>
        <w:rPr>
          <w:szCs w:val="28"/>
        </w:rPr>
      </w:r>
    </w:p>
    <w:p>
      <w:pPr>
        <w:pStyle w:val="931"/>
        <w:pBdr/>
        <w:spacing/>
        <w:ind w:right="0" w:firstLine="5953" w:left="0"/>
        <w:jc w:val="right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31"/>
        <w:pBdr/>
        <w:spacing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31"/>
        <w:pBdr/>
        <w:spacing/>
        <w:ind/>
        <w:jc w:val="center"/>
        <w:rPr/>
      </w:pPr>
      <w:r>
        <w:rPr>
          <w:color w:val="000000"/>
          <w:szCs w:val="28"/>
        </w:rPr>
        <w:t xml:space="preserve">Предельная </w:t>
      </w:r>
      <w:r>
        <w:t xml:space="preserve">себестоимость</w:t>
      </w:r>
      <w:r/>
    </w:p>
    <w:p>
      <w:pPr>
        <w:pStyle w:val="931"/>
        <w:pBdr/>
        <w:spacing/>
        <w:ind/>
        <w:jc w:val="center"/>
        <w:rPr>
          <w:color w:val="000000"/>
          <w:szCs w:val="28"/>
        </w:rPr>
      </w:pPr>
      <w:r>
        <w:t xml:space="preserve">1 километра пробега в разрезе класса автобусов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31"/>
        <w:pBdr/>
        <w:spacing/>
        <w:ind w:firstLine="709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46"/>
        <w:pBdr/>
        <w:tabs>
          <w:tab w:val="clear" w:leader="none" w:pos="708"/>
          <w:tab w:val="left" w:leader="none" w:pos="924"/>
        </w:tabs>
        <w:spacing w:line="276" w:lineRule="auto"/>
        <w:ind/>
        <w:jc w:val="both"/>
        <w:rPr/>
      </w:pPr>
      <w:r/>
      <w:r/>
    </w:p>
    <w:tbl>
      <w:tblPr>
        <w:tblInd w:w="421" w:type="dxa"/>
        <w:tblW w:w="935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118"/>
        <w:gridCol w:w="2974"/>
        <w:gridCol w:w="3263"/>
      </w:tblGrid>
      <w:tr>
        <w:trPr>
          <w:trHeight w:val="9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Класс автобуса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Количество посадочных мест для сидения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Предельная себестоимость на 1 км пробега, рублей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Малый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974" w:type="dxa"/>
            <w:vAlign w:val="bottom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до 20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263" w:type="dxa"/>
            <w:vAlign w:val="bottom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center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49,04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Малый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974" w:type="dxa"/>
            <w:vAlign w:val="bottom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21-30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center"/>
            <w:vMerge w:val="restart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70,76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Средний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974" w:type="dxa"/>
            <w:vAlign w:val="bottom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31-35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center"/>
            <w:vMerge w:val="continue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Большой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974" w:type="dxa"/>
            <w:vAlign w:val="bottom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36-50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263" w:type="dxa"/>
            <w:vAlign w:val="bottom"/>
            <w:textDirection w:val="lrTb"/>
            <w:noWrap w:val="false"/>
          </w:tcPr>
          <w:p>
            <w:pPr>
              <w:pStyle w:val="931"/>
              <w:widowControl w:val="false"/>
              <w:pBdr/>
              <w:spacing w:line="240" w:lineRule="auto"/>
              <w:ind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119,09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</w:tr>
    </w:tbl>
    <w:p>
      <w:pPr>
        <w:pStyle w:val="946"/>
        <w:pBdr/>
        <w:tabs>
          <w:tab w:val="clear" w:leader="none" w:pos="708"/>
          <w:tab w:val="left" w:leader="none" w:pos="924"/>
        </w:tabs>
        <w:spacing w:line="276" w:lineRule="auto"/>
        <w:ind/>
        <w:jc w:val="both"/>
        <w:rPr/>
      </w:pPr>
      <w:r/>
      <w:r/>
    </w:p>
    <w:p>
      <w:pPr>
        <w:pStyle w:val="931"/>
        <w:pBdr/>
        <w:spacing/>
        <w:ind/>
        <w:rPr/>
      </w:pPr>
      <w:r/>
      <w:r/>
    </w:p>
    <w:p>
      <w:pPr>
        <w:pStyle w:val="931"/>
        <w:pBdr/>
        <w:spacing/>
        <w:ind/>
        <w:rPr/>
      </w:pPr>
      <w:r/>
      <w:r/>
    </w:p>
    <w:sectPr>
      <w:headerReference w:type="default" r:id="rId10"/>
      <w:headerReference w:type="first" r:id="rId11"/>
      <w:footnotePr/>
      <w:endnotePr/>
      <w:type w:val="nextPage"/>
      <w:pgSz w:h="16838" w:orient="portrait" w:w="11906"/>
      <w:pgMar w:top="1135" w:right="567" w:bottom="1134" w:left="1134" w:header="709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jc w:val="center"/>
      <w:rPr/>
    </w:pPr>
    <w:r/>
    <w:r/>
  </w:p>
  <w:p>
    <w:pPr>
      <w:pStyle w:val="94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89546479"/>
      <w:docPartObj>
        <w:docPartGallery w:val="Page Numbers (Top of Page)"/>
        <w:docPartUnique w:val="true"/>
      </w:docPartObj>
      <w:rPr/>
    </w:sdtPr>
    <w:sdtContent>
      <w:p>
        <w:pPr>
          <w:pStyle w:val="948"/>
          <w:pBdr/>
          <w:spacing/>
          <w:ind/>
          <w:jc w:val="center"/>
          <w:rPr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0</w:t>
        </w:r>
        <w:r>
          <w:fldChar w:fldCharType="end"/>
        </w:r>
        <w:r/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pBdr/>
      <w:spacing/>
      <w:ind/>
      <w:jc w:val="center"/>
      <w:rPr/>
    </w:pPr>
    <w:r/>
    <w:r/>
  </w:p>
  <w:p>
    <w:pPr>
      <w:pStyle w:val="94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3">
    <w:name w:val="Placeholder Text"/>
    <w:basedOn w:val="932"/>
    <w:uiPriority w:val="99"/>
    <w:semiHidden/>
    <w:pPr>
      <w:pBdr/>
      <w:spacing/>
      <w:ind/>
    </w:pPr>
    <w:rPr>
      <w:color w:val="666666"/>
    </w:rPr>
  </w:style>
  <w:style w:type="table" w:styleId="754">
    <w:name w:val="Table Grid Light"/>
    <w:basedOn w:val="9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1"/>
    <w:basedOn w:val="9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2"/>
    <w:basedOn w:val="9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1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2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3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4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5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6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1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2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3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4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5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6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1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2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3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4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5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6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9">
    <w:name w:val="Heading 1"/>
    <w:basedOn w:val="931"/>
    <w:next w:val="931"/>
    <w:link w:val="88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0">
    <w:name w:val="Heading 2"/>
    <w:basedOn w:val="931"/>
    <w:next w:val="931"/>
    <w:link w:val="88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1">
    <w:name w:val="Heading 3"/>
    <w:basedOn w:val="931"/>
    <w:next w:val="931"/>
    <w:link w:val="89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2">
    <w:name w:val="Heading 4"/>
    <w:basedOn w:val="931"/>
    <w:next w:val="931"/>
    <w:link w:val="89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3">
    <w:name w:val="Heading 5"/>
    <w:basedOn w:val="931"/>
    <w:next w:val="931"/>
    <w:link w:val="89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4">
    <w:name w:val="Heading 6"/>
    <w:basedOn w:val="931"/>
    <w:next w:val="931"/>
    <w:link w:val="89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5">
    <w:name w:val="Heading 7"/>
    <w:basedOn w:val="931"/>
    <w:next w:val="931"/>
    <w:link w:val="89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6">
    <w:name w:val="Heading 8"/>
    <w:basedOn w:val="931"/>
    <w:next w:val="931"/>
    <w:link w:val="89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7">
    <w:name w:val="Heading 9"/>
    <w:basedOn w:val="931"/>
    <w:next w:val="931"/>
    <w:link w:val="89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8">
    <w:name w:val="Heading 1 Char"/>
    <w:basedOn w:val="932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9">
    <w:name w:val="Heading 2 Char"/>
    <w:basedOn w:val="932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0">
    <w:name w:val="Heading 3 Char"/>
    <w:basedOn w:val="932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1">
    <w:name w:val="Heading 4 Char"/>
    <w:basedOn w:val="932"/>
    <w:link w:val="88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2">
    <w:name w:val="Heading 5 Char"/>
    <w:basedOn w:val="932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3">
    <w:name w:val="Heading 6 Char"/>
    <w:basedOn w:val="932"/>
    <w:link w:val="8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4">
    <w:name w:val="Heading 7 Char"/>
    <w:basedOn w:val="932"/>
    <w:link w:val="88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5">
    <w:name w:val="Heading 8 Char"/>
    <w:basedOn w:val="932"/>
    <w:link w:val="8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6">
    <w:name w:val="Heading 9 Char"/>
    <w:basedOn w:val="932"/>
    <w:link w:val="8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7">
    <w:name w:val="Title Char"/>
    <w:basedOn w:val="932"/>
    <w:link w:val="9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8">
    <w:name w:val="Subtitle"/>
    <w:basedOn w:val="931"/>
    <w:next w:val="931"/>
    <w:link w:val="89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9">
    <w:name w:val="Subtitle Char"/>
    <w:basedOn w:val="932"/>
    <w:link w:val="8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0">
    <w:name w:val="Quote"/>
    <w:basedOn w:val="931"/>
    <w:next w:val="931"/>
    <w:link w:val="90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1">
    <w:name w:val="Quote Char"/>
    <w:basedOn w:val="932"/>
    <w:link w:val="9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Intense Emphasis"/>
    <w:basedOn w:val="9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3">
    <w:name w:val="Intense Quote"/>
    <w:basedOn w:val="931"/>
    <w:next w:val="931"/>
    <w:link w:val="90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4">
    <w:name w:val="Intense Quote Char"/>
    <w:basedOn w:val="932"/>
    <w:link w:val="90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5">
    <w:name w:val="Intense Reference"/>
    <w:basedOn w:val="9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6">
    <w:name w:val="No Spacing"/>
    <w:basedOn w:val="931"/>
    <w:uiPriority w:val="1"/>
    <w:qFormat/>
    <w:pPr>
      <w:pBdr/>
      <w:spacing w:after="0" w:line="240" w:lineRule="auto"/>
      <w:ind/>
    </w:pPr>
  </w:style>
  <w:style w:type="character" w:styleId="907">
    <w:name w:val="Subtle Emphasis"/>
    <w:basedOn w:val="9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8">
    <w:name w:val="Emphasis"/>
    <w:basedOn w:val="932"/>
    <w:uiPriority w:val="20"/>
    <w:qFormat/>
    <w:pPr>
      <w:pBdr/>
      <w:spacing/>
      <w:ind/>
    </w:pPr>
    <w:rPr>
      <w:i/>
      <w:iCs/>
    </w:rPr>
  </w:style>
  <w:style w:type="character" w:styleId="909">
    <w:name w:val="Strong"/>
    <w:basedOn w:val="932"/>
    <w:uiPriority w:val="22"/>
    <w:qFormat/>
    <w:pPr>
      <w:pBdr/>
      <w:spacing/>
      <w:ind/>
    </w:pPr>
    <w:rPr>
      <w:b/>
      <w:bCs/>
    </w:rPr>
  </w:style>
  <w:style w:type="character" w:styleId="910">
    <w:name w:val="Subtle Reference"/>
    <w:basedOn w:val="9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1">
    <w:name w:val="Book Title"/>
    <w:basedOn w:val="9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2">
    <w:name w:val="Header Char"/>
    <w:basedOn w:val="932"/>
    <w:link w:val="948"/>
    <w:uiPriority w:val="99"/>
    <w:pPr>
      <w:pBdr/>
      <w:spacing/>
      <w:ind/>
    </w:pPr>
  </w:style>
  <w:style w:type="character" w:styleId="913">
    <w:name w:val="Footer Char"/>
    <w:basedOn w:val="932"/>
    <w:link w:val="949"/>
    <w:uiPriority w:val="99"/>
    <w:pPr>
      <w:pBdr/>
      <w:spacing/>
      <w:ind/>
    </w:pPr>
  </w:style>
  <w:style w:type="paragraph" w:styleId="914">
    <w:name w:val="footnote text"/>
    <w:basedOn w:val="931"/>
    <w:link w:val="9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5">
    <w:name w:val="Footnote Text Char"/>
    <w:basedOn w:val="932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footnote reference"/>
    <w:basedOn w:val="932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931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Endnote Text Char"/>
    <w:basedOn w:val="932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endnote reference"/>
    <w:basedOn w:val="932"/>
    <w:uiPriority w:val="99"/>
    <w:semiHidden/>
    <w:unhideWhenUsed/>
    <w:pPr>
      <w:pBdr/>
      <w:spacing/>
      <w:ind/>
    </w:pPr>
    <w:rPr>
      <w:vertAlign w:val="superscript"/>
    </w:rPr>
  </w:style>
  <w:style w:type="paragraph" w:styleId="920">
    <w:name w:val="toc 1"/>
    <w:basedOn w:val="931"/>
    <w:next w:val="931"/>
    <w:uiPriority w:val="39"/>
    <w:unhideWhenUsed/>
    <w:pPr>
      <w:pBdr/>
      <w:spacing w:after="100"/>
      <w:ind/>
    </w:pPr>
  </w:style>
  <w:style w:type="paragraph" w:styleId="921">
    <w:name w:val="toc 2"/>
    <w:basedOn w:val="931"/>
    <w:next w:val="931"/>
    <w:uiPriority w:val="39"/>
    <w:unhideWhenUsed/>
    <w:pPr>
      <w:pBdr/>
      <w:spacing w:after="100"/>
      <w:ind w:left="220"/>
    </w:pPr>
  </w:style>
  <w:style w:type="paragraph" w:styleId="922">
    <w:name w:val="toc 3"/>
    <w:basedOn w:val="931"/>
    <w:next w:val="931"/>
    <w:uiPriority w:val="39"/>
    <w:unhideWhenUsed/>
    <w:pPr>
      <w:pBdr/>
      <w:spacing w:after="100"/>
      <w:ind w:left="440"/>
    </w:pPr>
  </w:style>
  <w:style w:type="paragraph" w:styleId="923">
    <w:name w:val="toc 4"/>
    <w:basedOn w:val="931"/>
    <w:next w:val="931"/>
    <w:uiPriority w:val="39"/>
    <w:unhideWhenUsed/>
    <w:pPr>
      <w:pBdr/>
      <w:spacing w:after="100"/>
      <w:ind w:left="660"/>
    </w:pPr>
  </w:style>
  <w:style w:type="paragraph" w:styleId="924">
    <w:name w:val="toc 5"/>
    <w:basedOn w:val="931"/>
    <w:next w:val="931"/>
    <w:uiPriority w:val="39"/>
    <w:unhideWhenUsed/>
    <w:pPr>
      <w:pBdr/>
      <w:spacing w:after="100"/>
      <w:ind w:left="880"/>
    </w:pPr>
  </w:style>
  <w:style w:type="paragraph" w:styleId="925">
    <w:name w:val="toc 6"/>
    <w:basedOn w:val="931"/>
    <w:next w:val="931"/>
    <w:uiPriority w:val="39"/>
    <w:unhideWhenUsed/>
    <w:pPr>
      <w:pBdr/>
      <w:spacing w:after="100"/>
      <w:ind w:left="1100"/>
    </w:pPr>
  </w:style>
  <w:style w:type="paragraph" w:styleId="926">
    <w:name w:val="toc 7"/>
    <w:basedOn w:val="931"/>
    <w:next w:val="931"/>
    <w:uiPriority w:val="39"/>
    <w:unhideWhenUsed/>
    <w:pPr>
      <w:pBdr/>
      <w:spacing w:after="100"/>
      <w:ind w:left="1320"/>
    </w:pPr>
  </w:style>
  <w:style w:type="paragraph" w:styleId="927">
    <w:name w:val="toc 8"/>
    <w:basedOn w:val="931"/>
    <w:next w:val="931"/>
    <w:uiPriority w:val="39"/>
    <w:unhideWhenUsed/>
    <w:pPr>
      <w:pBdr/>
      <w:spacing w:after="100"/>
      <w:ind w:left="1540"/>
    </w:pPr>
  </w:style>
  <w:style w:type="paragraph" w:styleId="928">
    <w:name w:val="toc 9"/>
    <w:basedOn w:val="931"/>
    <w:next w:val="931"/>
    <w:uiPriority w:val="39"/>
    <w:unhideWhenUsed/>
    <w:pPr>
      <w:pBdr/>
      <w:spacing w:after="100"/>
      <w:ind w:left="1760"/>
    </w:pPr>
  </w:style>
  <w:style w:type="paragraph" w:styleId="929">
    <w:name w:val="TOC Heading"/>
    <w:uiPriority w:val="39"/>
    <w:unhideWhenUsed/>
    <w:pPr>
      <w:pBdr/>
      <w:spacing/>
      <w:ind/>
    </w:pPr>
  </w:style>
  <w:style w:type="paragraph" w:styleId="930">
    <w:name w:val="table of figures"/>
    <w:basedOn w:val="931"/>
    <w:next w:val="931"/>
    <w:uiPriority w:val="99"/>
    <w:unhideWhenUsed/>
    <w:pPr>
      <w:pBdr/>
      <w:spacing w:after="0" w:afterAutospacing="0"/>
      <w:ind/>
    </w:pPr>
  </w:style>
  <w:style w:type="paragraph" w:styleId="931" w:default="1">
    <w:name w:val="Normal"/>
    <w:qFormat/>
    <w:pPr>
      <w:widowControl w:val="true"/>
      <w:pBdr/>
      <w:bidi w:val="false"/>
      <w:spacing w:after="0" w:before="0" w:line="276" w:lineRule="auto"/>
      <w:ind/>
      <w:jc w:val="both"/>
    </w:pPr>
    <w:rPr>
      <w:rFonts w:ascii="Times New Roman" w:hAnsi="Times New Roman" w:eastAsia="Calibri" w:cs="Times New Roman" w:eastAsiaTheme="minorHAnsi"/>
      <w:color w:val="auto"/>
      <w:sz w:val="28"/>
      <w:szCs w:val="22"/>
      <w:lang w:val="ru-RU" w:eastAsia="en-US" w:bidi="ar-SA"/>
    </w:rPr>
  </w:style>
  <w:style w:type="character" w:styleId="93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33" w:customStyle="1">
    <w:name w:val="Заголовок Знак"/>
    <w:basedOn w:val="932"/>
    <w:qFormat/>
    <w:pPr>
      <w:pBdr/>
      <w:spacing/>
      <w:ind/>
    </w:pPr>
    <w:rPr>
      <w:rFonts w:eastAsia="Times New Roman"/>
      <w:b/>
      <w:sz w:val="32"/>
      <w:szCs w:val="20"/>
      <w:lang w:eastAsia="ru-RU"/>
    </w:rPr>
  </w:style>
  <w:style w:type="character" w:styleId="934" w:customStyle="1">
    <w:name w:val="Верхний колонтитул Знак"/>
    <w:basedOn w:val="932"/>
    <w:uiPriority w:val="99"/>
    <w:qFormat/>
    <w:pPr>
      <w:pBdr/>
      <w:spacing/>
      <w:ind/>
    </w:pPr>
  </w:style>
  <w:style w:type="character" w:styleId="935" w:customStyle="1">
    <w:name w:val="Нижний колонтитул Знак"/>
    <w:basedOn w:val="932"/>
    <w:uiPriority w:val="99"/>
    <w:qFormat/>
    <w:pPr>
      <w:pBdr/>
      <w:spacing/>
      <w:ind/>
    </w:pPr>
  </w:style>
  <w:style w:type="character" w:styleId="936" w:customStyle="1">
    <w:name w:val="Текст выноски Знак"/>
    <w:basedOn w:val="932"/>
    <w:link w:val="950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7">
    <w:name w:val="Hyperlink"/>
    <w:basedOn w:val="932"/>
    <w:uiPriority w:val="99"/>
    <w:semiHidden/>
    <w:unhideWhenUsed/>
    <w:pPr>
      <w:pBdr/>
      <w:spacing/>
      <w:ind/>
    </w:pPr>
    <w:rPr>
      <w:color w:val="0563c1"/>
      <w:u w:val="single"/>
    </w:rPr>
  </w:style>
  <w:style w:type="character" w:styleId="938">
    <w:name w:val="FollowedHyperlink"/>
    <w:basedOn w:val="932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39">
    <w:name w:val="Заголовок"/>
    <w:basedOn w:val="931"/>
    <w:next w:val="940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940">
    <w:name w:val="Body Text"/>
    <w:basedOn w:val="931"/>
    <w:pPr>
      <w:pBdr/>
      <w:spacing w:after="140" w:before="0" w:line="276" w:lineRule="auto"/>
      <w:ind/>
    </w:pPr>
  </w:style>
  <w:style w:type="paragraph" w:styleId="941">
    <w:name w:val="List"/>
    <w:basedOn w:val="940"/>
    <w:pPr>
      <w:pBdr/>
      <w:spacing/>
      <w:ind/>
    </w:pPr>
    <w:rPr>
      <w:rFonts w:ascii="PT Astra Serif" w:hAnsi="PT Astra Serif" w:cs="Noto Sans Devanagari"/>
    </w:rPr>
  </w:style>
  <w:style w:type="paragraph" w:styleId="942">
    <w:name w:val="Caption"/>
    <w:basedOn w:val="931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943">
    <w:name w:val="Указатель"/>
    <w:basedOn w:val="931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44">
    <w:name w:val="Title"/>
    <w:basedOn w:val="931"/>
    <w:link w:val="933"/>
    <w:qFormat/>
    <w:pPr>
      <w:widowControl w:val="false"/>
      <w:pBdr/>
      <w:spacing w:line="320" w:lineRule="exact"/>
      <w:ind w:right="220" w:firstLine="0"/>
      <w:jc w:val="center"/>
    </w:pPr>
    <w:rPr>
      <w:rFonts w:eastAsia="Times New Roman"/>
      <w:b/>
      <w:sz w:val="32"/>
      <w:szCs w:val="20"/>
      <w:lang w:eastAsia="ru-RU"/>
    </w:rPr>
  </w:style>
  <w:style w:type="paragraph" w:styleId="945">
    <w:name w:val="List Paragraph"/>
    <w:basedOn w:val="931"/>
    <w:uiPriority w:val="34"/>
    <w:qFormat/>
    <w:pPr>
      <w:pBdr/>
      <w:spacing w:after="0" w:before="0"/>
      <w:ind w:firstLine="0" w:left="720"/>
      <w:contextualSpacing w:val="true"/>
    </w:pPr>
  </w:style>
  <w:style w:type="paragraph" w:styleId="946" w:customStyle="1">
    <w:name w:val="ConsPlusNormal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947">
    <w:name w:val="Колонтитул"/>
    <w:basedOn w:val="931"/>
    <w:qFormat/>
    <w:pPr>
      <w:pBdr/>
      <w:spacing/>
      <w:ind/>
    </w:pPr>
  </w:style>
  <w:style w:type="paragraph" w:styleId="948">
    <w:name w:val="Header"/>
    <w:basedOn w:val="931"/>
    <w:link w:val="93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49">
    <w:name w:val="Footer"/>
    <w:basedOn w:val="931"/>
    <w:link w:val="935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50">
    <w:name w:val="Balloon Text"/>
    <w:basedOn w:val="931"/>
    <w:link w:val="936"/>
    <w:uiPriority w:val="99"/>
    <w:semiHidden/>
    <w:unhideWhenUsed/>
    <w:qFormat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paragraph" w:styleId="951" w:customStyle="1">
    <w:name w:val="xl63"/>
    <w:basedOn w:val="931"/>
    <w:qFormat/>
    <w:pPr>
      <w:pBdr/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52" w:customStyle="1">
    <w:name w:val="xl64"/>
    <w:basedOn w:val="931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53" w:customStyle="1">
    <w:name w:val="xl65"/>
    <w:basedOn w:val="931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54" w:customStyle="1">
    <w:name w:val="xl66"/>
    <w:basedOn w:val="931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5" w:customStyle="1">
    <w:name w:val="xl67"/>
    <w:basedOn w:val="931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6" w:customStyle="1">
    <w:name w:val="xl68"/>
    <w:basedOn w:val="931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7" w:customStyle="1">
    <w:name w:val="xl69"/>
    <w:basedOn w:val="931"/>
    <w:qFormat/>
    <w:pPr>
      <w:pBdr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8" w:customStyle="1">
    <w:name w:val="xl70"/>
    <w:basedOn w:val="931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9" w:customStyle="1">
    <w:name w:val="xl71"/>
    <w:basedOn w:val="931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60" w:customStyle="1">
    <w:name w:val="xl72"/>
    <w:basedOn w:val="931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61" w:customStyle="1">
    <w:name w:val="xl73"/>
    <w:basedOn w:val="931"/>
    <w:qFormat/>
    <w:pPr>
      <w:pBdr>
        <w:top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62" w:customStyle="1">
    <w:name w:val="xl74"/>
    <w:basedOn w:val="931"/>
    <w:qFormat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63" w:customStyle="1">
    <w:name w:val="xl75"/>
    <w:basedOn w:val="931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64" w:customStyle="1">
    <w:name w:val="xl76"/>
    <w:basedOn w:val="931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65" w:customStyle="1">
    <w:name w:val="xl77"/>
    <w:basedOn w:val="931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66" w:customStyle="1">
    <w:name w:val="xl78"/>
    <w:basedOn w:val="931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67" w:customStyle="1">
    <w:name w:val="xl79"/>
    <w:basedOn w:val="931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68" w:customStyle="1">
    <w:name w:val="xl80"/>
    <w:basedOn w:val="931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69">
    <w:name w:val="Normal (Web)"/>
    <w:basedOn w:val="931"/>
    <w:uiPriority w:val="99"/>
    <w:semiHidden/>
    <w:unhideWhenUsed/>
    <w:qFormat/>
    <w:pPr>
      <w:pBdr/>
      <w:spacing w:afterAutospacing="1" w:beforeAutospacing="1" w:line="240" w:lineRule="auto"/>
      <w:ind/>
      <w:jc w:val="left"/>
    </w:pPr>
    <w:rPr>
      <w:rFonts w:eastAsia="Times New Roman"/>
      <w:sz w:val="24"/>
      <w:szCs w:val="24"/>
      <w:lang w:eastAsia="ru-RU"/>
    </w:rPr>
  </w:style>
  <w:style w:type="numbering" w:styleId="970" w:default="1">
    <w:name w:val="No List"/>
    <w:uiPriority w:val="99"/>
    <w:semiHidden/>
    <w:unhideWhenUsed/>
    <w:qFormat/>
    <w:pPr>
      <w:pBdr/>
      <w:spacing/>
      <w:ind/>
    </w:pPr>
  </w:style>
  <w:style w:type="table" w:styleId="971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Table Grid"/>
    <w:basedOn w:val="971"/>
    <w:uiPriority w:val="39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5A2F-A3FE-49D1-ADEF-AC03AB25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Пугачева</dc:creator>
  <dc:description/>
  <dc:language>ru-RU</dc:language>
  <cp:revision>14</cp:revision>
  <dcterms:created xsi:type="dcterms:W3CDTF">2021-12-27T13:51:00Z</dcterms:created>
  <dcterms:modified xsi:type="dcterms:W3CDTF">2025-12-02T05:54:10Z</dcterms:modified>
</cp:coreProperties>
</file>