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4394"/>
          <w:tab w:val="left" w:leader="none" w:pos="4535"/>
          <w:tab w:val="left" w:leader="none" w:pos="5103"/>
        </w:tabs>
        <w:spacing w:after="0" w:line="240" w:lineRule="auto"/>
        <w:ind w:right="5670" w:firstLine="0" w:left="0"/>
        <w:jc w:val="both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внесении изменени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в </w:t>
      </w:r>
      <w:bookmarkStart w:id="1" w:name="_Hlk18594701"/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римерный перечень государственных услуг и работ, оказываемых и выполняемых государственными учрежден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иям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 и фин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ансируемых за счет средств бюджета Республики Татарстан, в разрезе видов учреждений и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отдельных государственных учреждений Республики Татарстан, утвержденный постановлением Кабинета Министров Республики Татарстан от 29.09.2015 № 726</w:t>
      </w:r>
      <w:r>
        <w:rPr>
          <w:rFonts w:ascii="Times New Roman" w:hAnsi="Times New Roman"/>
          <w:sz w:val="28"/>
          <w:szCs w:val="28"/>
          <w:highlight w:val="cyan"/>
        </w:rPr>
      </w:r>
      <w:r>
        <w:rPr>
          <w:rFonts w:ascii="Times New Roman" w:hAnsi="Times New Roman"/>
          <w:sz w:val="28"/>
          <w:szCs w:val="28"/>
          <w:highlight w:val="cyan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5CC0B3E5">
      <w:pPr>
        <w:pStyle w:val="956"/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переч</w:t>
      </w:r>
      <w:r>
        <w:rPr>
          <w:rFonts w:ascii="Times New Roman" w:hAnsi="Times New Roman"/>
          <w:sz w:val="28"/>
          <w:szCs w:val="28"/>
        </w:rPr>
        <w:t xml:space="preserve">ень</w:t>
      </w:r>
      <w:r>
        <w:rPr>
          <w:rFonts w:ascii="Times New Roman" w:hAnsi="Times New Roman"/>
          <w:sz w:val="28"/>
          <w:szCs w:val="28"/>
        </w:rPr>
        <w:t xml:space="preserve">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от 29.09.2015 № 726 «Об утверждении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25.12.2015 № 974, от 14.01.2016 № 12, от 02.11.2016 № 807, от 31.12.2016 № 1094, от 27.06.2017 № 441, от 27.11.2017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914, от 27.12.2017 № 1062, от 26.04.2018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296, от 26.11.2018</w:t>
      </w:r>
      <w:r>
        <w:rPr>
          <w:rFonts w:ascii="Times New Roman" w:hAnsi="Times New Roman"/>
          <w:sz w:val="28"/>
          <w:szCs w:val="28"/>
        </w:rPr>
        <w:t xml:space="preserve"> № 1053, от 13.12.2018 </w:t>
        <w:br/>
        <w:t xml:space="preserve">№ 1128,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28.08.2019 № 732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07.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.2019 № 892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30.12.2019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1248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15.05.2020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391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18.08.2020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704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25.09.2020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873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25.12.2020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1190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от 27.01.2021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26,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01.02.2021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45, от 21.07.2021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627, от 13.08.2021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719,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15.11.2021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1075, от 27.12.2021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1294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23.03.2022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260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10.05.2022 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426, от 16.05.2022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449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03.08.2022 № 755</w:t>
      </w:r>
      <w:r>
        <w:rPr>
          <w:rFonts w:ascii="Times New Roman" w:hAnsi="Times New Roman"/>
          <w:sz w:val="28"/>
          <w:szCs w:val="28"/>
        </w:rPr>
        <w:t xml:space="preserve">, от </w:t>
      </w:r>
      <w:r>
        <w:rPr>
          <w:rFonts w:ascii="Times New Roman" w:hAnsi="Times New Roman"/>
          <w:sz w:val="28"/>
          <w:szCs w:val="28"/>
        </w:rPr>
        <w:t xml:space="preserve">18.11.2022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1233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27.01.2023 № 57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11.02.2023 № 140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25.03.2023 № 351, от 18.04.2023 № 489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03.07.2023 № 773</w:t>
      </w:r>
      <w:r>
        <w:rPr>
          <w:rFonts w:ascii="Times New Roman" w:hAnsi="Times New Roman"/>
          <w:sz w:val="28"/>
          <w:szCs w:val="28"/>
        </w:rPr>
        <w:t xml:space="preserve">, от 24.08.2023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1010, от 23.10.2023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1337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15.12.2023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1628, от 29.01.2024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38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07.03.2024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01.04.2024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211, от 25.04.2024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275, от 07.05.2024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309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19.07.2024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581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23.10.2024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917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от 30.12.2024 № 1267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26.05.2025 № 359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17.07.2025 № 523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 xml:space="preserve">изменени</w:t>
      </w:r>
      <w:r>
        <w:rPr>
          <w:rFonts w:ascii="Times New Roman" w:hAnsi="Times New Roman"/>
          <w:sz w:val="28"/>
          <w:szCs w:val="28"/>
        </w:rPr>
        <w:t xml:space="preserve">я:</w:t>
      </w:r>
      <w:r>
        <w:rPr>
          <w:rFonts w:ascii="Times New Roman" w:hAnsi="Times New Roman"/>
          <w:sz w:val="28"/>
          <w:szCs w:val="28"/>
        </w:rPr>
      </w:r>
      <w:r/>
    </w:p>
    <w:p w14:paraId="1FF864B0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раздел 2 дополнить пунктами 2.7, 2.8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71FD439C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69"/>
        <w:tblInd w:w="7" w:type="dxa"/>
        <w:tblW w:w="0" w:type="auto"/>
        <w:tblCellMar>
          <w:left w:w="283" w:type="dxa"/>
          <w:top w:w="0" w:type="dxa"/>
          <w:right w:w="283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18"/>
        <w:gridCol w:w="850"/>
        <w:gridCol w:w="850"/>
        <w:gridCol w:w="2268"/>
        <w:gridCol w:w="283"/>
        <w:gridCol w:w="283"/>
        <w:gridCol w:w="850"/>
        <w:gridCol w:w="709"/>
        <w:gridCol w:w="1134"/>
        <w:gridCol w:w="850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18" w:type="dxa"/>
            <w:vAlign w:val="top"/>
            <w:textDirection w:val="lrTb"/>
            <w:noWrap w:val="false"/>
          </w:tcPr>
          <w:p w14:paraId="2B04143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«2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 Государственное бюджетное учреждение Республики Татарстан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Редакция газеты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Ватаным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E02FCD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ЗИ10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C1F660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 w14:paraId="34092A9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публикация полных текстов нормативных правовых актов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 w14:paraId="2721E95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 w14:paraId="68E4876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5F48D03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форма выполнения работы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 w14:paraId="0D59A4C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5490611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связь, информационно-коммуникационные технологии и средства массовой информации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DBF66A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18" w:type="dxa"/>
            <w:vAlign w:val="top"/>
            <w:textDirection w:val="lrTb"/>
            <w:noWrap w:val="false"/>
          </w:tcPr>
          <w:p w14:paraId="0B1B961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 Государственное бюджетное учреждение Республики Татарстан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Редакция газеты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Республика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18BBDC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ЗИ10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7940A3D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 w14:paraId="7005397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публикация полных текстов нормативных правовых актов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 w14:paraId="62A1AC3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 w14:paraId="7EABCF1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C10C27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форма выполнения работы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 w14:paraId="50D92BB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25261F6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связь, информационно-коммуникационные технологии и средства массовой информации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71090B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</w:tbl>
    <w:p w14:paraId="37A62707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365A03A8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раздел 3 признать утратившим силу;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48C610FC"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графу 10 строки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804200О.99.0.ББ65АВ01000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» пункта 4.6 дополнить словами «(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число обучающихся, человек)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 w14:paraId="157B1803"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графу 10 строки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804200О.99.0.ББ65АВ01000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» пункта 5.1 дополнить словами «(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число обучающихся, человек)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пункт 6.6 </w:t>
      </w:r>
      <w:r>
        <w:rPr>
          <w:rFonts w:ascii="Times New Roman" w:hAnsi="Times New Roman"/>
          <w:sz w:val="28"/>
          <w:szCs w:val="28"/>
          <w:lang w:val="ru-RU"/>
        </w:rPr>
        <w:t xml:space="preserve">дополнить строкой следующего содержания: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 w14:paraId="4589821C"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769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"/>
        <w:gridCol w:w="1984"/>
        <w:gridCol w:w="992"/>
        <w:gridCol w:w="2409"/>
        <w:gridCol w:w="567"/>
        <w:gridCol w:w="567"/>
        <w:gridCol w:w="567"/>
        <w:gridCol w:w="567"/>
        <w:gridCol w:w="1276"/>
        <w:gridCol w:w="104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25" w:type="dxa"/>
            <w:vAlign w:val="top"/>
            <w:textDirection w:val="lrTb"/>
            <w:noWrap w:val="false"/>
          </w:tcPr>
          <w:p w14:paraId="2FF6D24F"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 w14:paraId="4AAB2C9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«730000Р.16.1.ОН16АА80000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299BAF8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0470036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прикладных научных исследований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 w14:paraId="2092629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 w14:paraId="1320B36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 w14:paraId="4B85EB9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 w14:paraId="3D40AF6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E74E4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образование и наука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 w14:paraId="7F8C2D9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 w14:paraId="4349104A"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строку «</w:t>
      </w:r>
      <w:r>
        <w:rPr>
          <w:rFonts w:ascii="Times New Roman" w:hAnsi="Times New Roman"/>
          <w:sz w:val="28"/>
          <w:szCs w:val="28"/>
        </w:rPr>
        <w:t xml:space="preserve">730000Р.16.1.ОН16АА80000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пункта 6.7 </w:t>
      </w:r>
      <w:r>
        <w:rPr>
          <w:rFonts w:ascii="Times New Roman" w:hAnsi="Times New Roman"/>
          <w:sz w:val="28"/>
          <w:szCs w:val="28"/>
        </w:rPr>
        <w:t xml:space="preserve">признать утратившей силу.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4DB1C2A1"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439DC8B9"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А.В Песошин</w:t>
      </w:r>
      <w:r>
        <w:rPr>
          <w:rFonts w:ascii="Times New Roman" w:hAnsi="Times New Roman"/>
          <w:sz w:val="28"/>
          <w:szCs w:val="28"/>
        </w:rPr>
        <w:tab/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00" w:lineRule="auto"/>
        <w:ind/>
        <w:contextualSpacing w:val="tru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внесении изменени</w:t>
      </w:r>
      <w:r>
        <w:rPr>
          <w:rFonts w:ascii="Times New Roman" w:hAnsi="Times New Roman"/>
          <w:b/>
          <w:sz w:val="28"/>
          <w:szCs w:val="28"/>
        </w:rPr>
        <w:t xml:space="preserve">й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римерный перечень государственных услуг и работ, оказываемых и выполняемых государственными учреждениям</w:t>
      </w:r>
      <w:r>
        <w:rPr>
          <w:rFonts w:ascii="Times New Roman" w:hAnsi="Times New Roman"/>
          <w:b/>
          <w:sz w:val="28"/>
          <w:szCs w:val="28"/>
        </w:rPr>
        <w:t xml:space="preserve">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утвержденный постановлением Кабинета Министров Республики Татарстан от 29.09.2015 № 726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«О внесении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</w:rPr>
        <w:t xml:space="preserve">римерный перечень государственных услуг и работ, оказываемых и выполняемых государственными учреждениям</w:t>
      </w:r>
      <w:r>
        <w:rPr>
          <w:rFonts w:ascii="Times New Roman" w:hAnsi="Times New Roman"/>
          <w:sz w:val="28"/>
          <w:szCs w:val="28"/>
          <w:highlight w:val="none"/>
        </w:rPr>
        <w:t xml:space="preserve">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утвержденный постановлением Кабинета Министров Республики Татарстан от 29.09.2015</w:t>
        <w:br/>
        <w:t xml:space="preserve">№ 726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– Примерный перечень)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 государственным бюджетным учреждением «Центр экономических и социальных исследований Респ</w:t>
      </w:r>
      <w:r>
        <w:rPr>
          <w:rFonts w:ascii="Times New Roman" w:hAnsi="Times New Roman"/>
          <w:sz w:val="28"/>
          <w:szCs w:val="28"/>
          <w:highlight w:val="none"/>
        </w:rPr>
        <w:t xml:space="preserve">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238AE157">
      <w:pPr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соответствии с обращением </w:t>
      </w:r>
      <w:r>
        <w:rPr>
          <w:rFonts w:ascii="Times New Roman" w:hAnsi="Times New Roman"/>
          <w:sz w:val="28"/>
          <w:szCs w:val="28"/>
          <w:highlight w:val="none"/>
        </w:rPr>
        <w:t xml:space="preserve">Республиканского агентства по печати и массовым коммуникациям «Татмедиа</w:t>
      </w:r>
      <w:r>
        <w:rPr>
          <w:rFonts w:ascii="Times New Roman" w:hAnsi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/>
          <w:sz w:val="28"/>
          <w:szCs w:val="28"/>
          <w:highlight w:val="none"/>
        </w:rPr>
        <w:t xml:space="preserve">от 17.10.2025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2339и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1A64E1AC">
      <w:pPr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- в рамках приведения в соответствие постановлению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от 01.12.2025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</w:rPr>
        <w:t xml:space="preserve"> 1020</w:t>
      </w:r>
      <w:r>
        <w:rPr>
          <w:rFonts w:ascii="Times New Roman" w:hAnsi="Times New Roman"/>
          <w:sz w:val="28"/>
          <w:szCs w:val="28"/>
          <w:highlight w:val="none"/>
        </w:rPr>
        <w:t xml:space="preserve"> «О внесении изменений в региональный перечень (классификатор) государственных (муниципальных) услуг, не включенных в общероссийские базовые (отрас</w:t>
      </w:r>
      <w:r>
        <w:rPr>
          <w:rFonts w:ascii="Times New Roman" w:hAnsi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/>
          <w:sz w:val="28"/>
          <w:szCs w:val="28"/>
          <w:highlight w:val="none"/>
        </w:rPr>
        <w:t xml:space="preserve">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актами), в том числе при осуществлении переданных полном</w:t>
      </w:r>
      <w:r>
        <w:rPr>
          <w:rFonts w:ascii="Times New Roman" w:hAnsi="Times New Roman"/>
          <w:sz w:val="28"/>
          <w:szCs w:val="28"/>
          <w:highlight w:val="none"/>
        </w:rPr>
        <w:t xml:space="preserve">очий Российской Федерации и полномочий по предметам совместного ведения Российской Федерации и Республики Татарстан, утвержденный постановлением Кабинета Министров Республики Татарстан от 24.12.2018 № 1214» (далее – Региональный перечень);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4B54422F">
      <w:pPr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в соответствии с обращением Министерства финансов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от 11.12.2025</w:t>
      </w:r>
      <w:r>
        <w:rPr>
          <w:rFonts w:ascii="Times New Roman" w:hAnsi="Times New Roman"/>
          <w:sz w:val="28"/>
          <w:szCs w:val="28"/>
          <w:highlight w:val="none"/>
        </w:rPr>
        <w:t xml:space="preserve"> № 10-16/8696.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56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</w:rPr>
        <w:t xml:space="preserve">тся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</w:rPr>
        <w:t xml:space="preserve">Примерный перечень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0C4985F0">
      <w:pPr>
        <w:pStyle w:val="956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корректировки показателей объема государственной услуги «</w:t>
      </w:r>
      <w:r>
        <w:rPr>
          <w:rFonts w:ascii="Times New Roman" w:hAnsi="Times New Roman"/>
          <w:sz w:val="28"/>
          <w:szCs w:val="28"/>
          <w:highlight w:val="none"/>
        </w:rPr>
        <w:t xml:space="preserve"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служащих»</w:t>
      </w:r>
      <w:r>
        <w:rPr>
          <w:rFonts w:ascii="Times New Roman" w:hAnsi="Times New Roman"/>
          <w:sz w:val="28"/>
          <w:szCs w:val="28"/>
          <w:highlight w:val="none"/>
        </w:rPr>
        <w:t xml:space="preserve"> в пунктах 4.6, 5.1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</w:p>
    <w:p w14:paraId="4C486CFF">
      <w:pPr>
        <w:pStyle w:val="956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sz w:val="28"/>
          <w:szCs w:val="28"/>
          <w:highlight w:val="none"/>
        </w:rPr>
        <w:t xml:space="preserve">дополнения условиями выполнения работы</w:t>
      </w:r>
      <w:r>
        <w:rPr>
          <w:rFonts w:ascii="Times New Roman" w:hAnsi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</w:rPr>
        <w:t xml:space="preserve">публикация полных текстов нормативных правовых актов»</w:t>
      </w:r>
      <w:r>
        <w:rPr>
          <w:rFonts w:ascii="Times New Roman" w:hAnsi="Times New Roman"/>
          <w:sz w:val="28"/>
          <w:szCs w:val="28"/>
          <w:highlight w:val="none"/>
        </w:rPr>
        <w:t xml:space="preserve">, закрепленной за </w:t>
      </w:r>
      <w:r>
        <w:rPr>
          <w:rFonts w:ascii="Times New Roman" w:hAnsi="Times New Roman"/>
          <w:sz w:val="28"/>
          <w:szCs w:val="28"/>
          <w:highlight w:val="none"/>
        </w:rPr>
        <w:t xml:space="preserve">ГБУ РТ «Редакция газеты «Республика Татарстан» и ГБУ РТ «Редакция газеты «Ватаным Татарстан», </w:t>
      </w:r>
      <w:r>
        <w:rPr>
          <w:rFonts w:ascii="Times New Roman" w:hAnsi="Times New Roman"/>
          <w:sz w:val="28"/>
          <w:szCs w:val="28"/>
          <w:highlight w:val="none"/>
        </w:rPr>
        <w:t xml:space="preserve">в целях</w:t>
      </w:r>
      <w:r>
        <w:rPr>
          <w:rFonts w:ascii="Times New Roman" w:hAnsi="Times New Roman"/>
          <w:sz w:val="28"/>
          <w:szCs w:val="28"/>
          <w:highlight w:val="none"/>
        </w:rPr>
        <w:t xml:space="preserve"> разграничения выполняемых работ в рамках государственных заданий (публикация нормативных правовых актов в печатном издании и размещение материалов на </w:t>
      </w:r>
      <w:r>
        <w:rPr>
          <w:rFonts w:ascii="Times New Roman" w:hAnsi="Times New Roman"/>
          <w:sz w:val="28"/>
          <w:szCs w:val="28"/>
          <w:highlight w:val="none"/>
        </w:rPr>
        <w:t xml:space="preserve">официальном сайте в</w:t>
      </w:r>
      <w:r>
        <w:rPr>
          <w:rFonts w:ascii="Times New Roman" w:hAnsi="Times New Roman"/>
          <w:sz w:val="28"/>
          <w:szCs w:val="28"/>
          <w:highlight w:val="none"/>
        </w:rPr>
        <w:t xml:space="preserve"> информационно-телекоммуникационной сети «Интернет»), </w:t>
      </w:r>
      <w:r>
        <w:rPr>
          <w:rFonts w:ascii="Times New Roman" w:hAnsi="Times New Roman"/>
          <w:sz w:val="28"/>
          <w:szCs w:val="28"/>
          <w:highlight w:val="none"/>
        </w:rPr>
        <w:t xml:space="preserve">в связи с внесением указанных изменений в Региональный перечень;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5B361A3E">
      <w:pPr>
        <w:pStyle w:val="956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sz w:val="28"/>
          <w:szCs w:val="28"/>
          <w:highlight w:val="none"/>
        </w:rPr>
        <w:t xml:space="preserve">исключения работы «</w:t>
      </w:r>
      <w:r>
        <w:rPr>
          <w:rFonts w:ascii="Times New Roman" w:hAnsi="Times New Roman"/>
          <w:sz w:val="28"/>
          <w:szCs w:val="28"/>
          <w:highlight w:val="none"/>
        </w:rPr>
        <w:t xml:space="preserve">проведение прикладных научных исследований</w:t>
      </w:r>
      <w:r>
        <w:rPr>
          <w:rFonts w:ascii="Times New Roman" w:hAnsi="Times New Roman"/>
          <w:sz w:val="28"/>
          <w:szCs w:val="28"/>
          <w:highlight w:val="none"/>
        </w:rPr>
        <w:t xml:space="preserve">», закрепленной за </w:t>
      </w:r>
      <w:r>
        <w:rPr>
          <w:rFonts w:ascii="Times New Roman" w:hAnsi="Times New Roman"/>
          <w:sz w:val="28"/>
          <w:szCs w:val="28"/>
          <w:highlight w:val="none"/>
        </w:rPr>
        <w:t xml:space="preserve">ГАУЗ «Республиканская клиническая больница Министерства здравоохранения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, и закрепления ее за </w:t>
      </w:r>
      <w:r>
        <w:rPr>
          <w:rFonts w:ascii="Times New Roman" w:hAnsi="Times New Roman"/>
          <w:sz w:val="28"/>
          <w:szCs w:val="28"/>
          <w:highlight w:val="none"/>
        </w:rPr>
        <w:t xml:space="preserve">ГАУЗ «Республиканский медицинский информационно-аналитический центр» </w:t>
      </w:r>
      <w:r>
        <w:rPr>
          <w:rFonts w:ascii="Times New Roman" w:hAnsi="Times New Roman"/>
          <w:sz w:val="28"/>
          <w:szCs w:val="28"/>
          <w:highlight w:val="none"/>
        </w:rPr>
        <w:t xml:space="preserve">в рамках решения Раиса Республики Татарстан Минниханова Р.Н. </w:t>
      </w:r>
      <w:r>
        <w:rPr>
          <w:rFonts w:ascii="Times New Roman" w:hAnsi="Times New Roman"/>
          <w:sz w:val="28"/>
          <w:szCs w:val="28"/>
          <w:highlight w:val="none"/>
        </w:rPr>
        <w:t xml:space="preserve">от 24.11.2025</w:t>
      </w:r>
      <w:r>
        <w:rPr>
          <w:rFonts w:ascii="Times New Roman" w:hAnsi="Times New Roman"/>
          <w:sz w:val="28"/>
          <w:szCs w:val="28"/>
          <w:highlight w:val="none"/>
        </w:rPr>
        <w:t xml:space="preserve"> № 58492-МР.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753E684E">
      <w:pPr>
        <w:pStyle w:val="956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30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956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/>
    <w:r/>
  </w:p>
  <w:p>
    <w:pPr>
      <w:pStyle w:val="9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6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0"/>
  </w:num>
  <w:num w:numId="14">
    <w:abstractNumId w:val="18"/>
  </w:num>
  <w:num w:numId="15">
    <w:abstractNumId w:val="8"/>
  </w:num>
  <w:num w:numId="16">
    <w:abstractNumId w:val="1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Placeholder Text"/>
    <w:basedOn w:val="904"/>
    <w:uiPriority w:val="99"/>
    <w:semiHidden/>
    <w:pPr>
      <w:pBdr/>
      <w:spacing/>
      <w:ind/>
    </w:pPr>
    <w:rPr>
      <w:color w:val="666666"/>
    </w:r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6"/>
    <w:next w:val="956"/>
    <w:link w:val="9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6"/>
    <w:next w:val="956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6"/>
    <w:next w:val="956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6"/>
    <w:next w:val="956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6"/>
    <w:next w:val="956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6"/>
    <w:next w:val="956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6"/>
    <w:next w:val="956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6"/>
    <w:next w:val="956"/>
    <w:link w:val="9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6"/>
    <w:next w:val="956"/>
    <w:link w:val="9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character" w:styleId="906">
    <w:name w:val="Heading 1 Char"/>
    <w:basedOn w:val="904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7">
    <w:name w:val="Heading 2 Char"/>
    <w:basedOn w:val="904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8">
    <w:name w:val="Heading 3 Char"/>
    <w:basedOn w:val="904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9">
    <w:name w:val="Heading 4 Char"/>
    <w:basedOn w:val="904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0">
    <w:name w:val="Heading 5 Char"/>
    <w:basedOn w:val="904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1">
    <w:name w:val="Heading 6 Char"/>
    <w:basedOn w:val="904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2">
    <w:name w:val="Heading 7 Char"/>
    <w:basedOn w:val="904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3">
    <w:name w:val="Heading 8 Char"/>
    <w:basedOn w:val="904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9 Char"/>
    <w:basedOn w:val="904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5">
    <w:name w:val="Title"/>
    <w:basedOn w:val="956"/>
    <w:next w:val="956"/>
    <w:link w:val="9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6">
    <w:name w:val="Title Char"/>
    <w:basedOn w:val="904"/>
    <w:link w:val="9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7">
    <w:name w:val="Subtitle"/>
    <w:basedOn w:val="956"/>
    <w:next w:val="956"/>
    <w:link w:val="9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8">
    <w:name w:val="Subtitle Char"/>
    <w:basedOn w:val="904"/>
    <w:link w:val="9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9">
    <w:name w:val="Quote"/>
    <w:basedOn w:val="956"/>
    <w:next w:val="956"/>
    <w:link w:val="9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0">
    <w:name w:val="Quote Char"/>
    <w:basedOn w:val="904"/>
    <w:link w:val="9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1">
    <w:name w:val="List Paragraph"/>
    <w:basedOn w:val="956"/>
    <w:uiPriority w:val="34"/>
    <w:qFormat/>
    <w:pPr>
      <w:pBdr/>
      <w:spacing/>
      <w:ind w:left="720"/>
      <w:contextualSpacing w:val="true"/>
    </w:pPr>
  </w:style>
  <w:style w:type="character" w:styleId="922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3">
    <w:name w:val="Intense Quote"/>
    <w:basedOn w:val="956"/>
    <w:next w:val="956"/>
    <w:link w:val="9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4">
    <w:name w:val="Intense Quote Char"/>
    <w:basedOn w:val="904"/>
    <w:link w:val="9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5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6">
    <w:name w:val="No Spacing"/>
    <w:basedOn w:val="956"/>
    <w:uiPriority w:val="1"/>
    <w:qFormat/>
    <w:pPr>
      <w:pBdr/>
      <w:spacing w:after="0" w:line="240" w:lineRule="auto"/>
      <w:ind/>
    </w:pPr>
  </w:style>
  <w:style w:type="character" w:styleId="92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92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93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2">
    <w:name w:val="Header"/>
    <w:basedOn w:val="956"/>
    <w:link w:val="9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3">
    <w:name w:val="Header Char"/>
    <w:basedOn w:val="904"/>
    <w:link w:val="932"/>
    <w:uiPriority w:val="99"/>
    <w:pPr>
      <w:pBdr/>
      <w:spacing/>
      <w:ind/>
    </w:pPr>
  </w:style>
  <w:style w:type="paragraph" w:styleId="934">
    <w:name w:val="Footer"/>
    <w:basedOn w:val="956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Footer Char"/>
    <w:basedOn w:val="904"/>
    <w:link w:val="934"/>
    <w:uiPriority w:val="99"/>
    <w:pPr>
      <w:pBdr/>
      <w:spacing/>
      <w:ind/>
    </w:pPr>
  </w:style>
  <w:style w:type="paragraph" w:styleId="936">
    <w:name w:val="Caption"/>
    <w:basedOn w:val="956"/>
    <w:next w:val="9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7">
    <w:name w:val="footnote text"/>
    <w:basedOn w:val="956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>
    <w:name w:val="Footnote Text Char"/>
    <w:basedOn w:val="904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endnote text"/>
    <w:basedOn w:val="956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Endnote Text Char"/>
    <w:basedOn w:val="904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943">
    <w:name w:val="Hyperlink"/>
    <w:basedOn w:val="9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5">
    <w:name w:val="toc 1"/>
    <w:basedOn w:val="956"/>
    <w:next w:val="956"/>
    <w:uiPriority w:val="39"/>
    <w:unhideWhenUsed/>
    <w:pPr>
      <w:pBdr/>
      <w:spacing w:after="100"/>
      <w:ind/>
    </w:pPr>
  </w:style>
  <w:style w:type="paragraph" w:styleId="946">
    <w:name w:val="toc 2"/>
    <w:basedOn w:val="956"/>
    <w:next w:val="956"/>
    <w:uiPriority w:val="39"/>
    <w:unhideWhenUsed/>
    <w:pPr>
      <w:pBdr/>
      <w:spacing w:after="100"/>
      <w:ind w:left="220"/>
    </w:pPr>
  </w:style>
  <w:style w:type="paragraph" w:styleId="947">
    <w:name w:val="toc 3"/>
    <w:basedOn w:val="956"/>
    <w:next w:val="956"/>
    <w:uiPriority w:val="39"/>
    <w:unhideWhenUsed/>
    <w:pPr>
      <w:pBdr/>
      <w:spacing w:after="100"/>
      <w:ind w:left="440"/>
    </w:pPr>
  </w:style>
  <w:style w:type="paragraph" w:styleId="948">
    <w:name w:val="toc 4"/>
    <w:basedOn w:val="956"/>
    <w:next w:val="956"/>
    <w:uiPriority w:val="39"/>
    <w:unhideWhenUsed/>
    <w:pPr>
      <w:pBdr/>
      <w:spacing w:after="100"/>
      <w:ind w:left="660"/>
    </w:pPr>
  </w:style>
  <w:style w:type="paragraph" w:styleId="949">
    <w:name w:val="toc 5"/>
    <w:basedOn w:val="956"/>
    <w:next w:val="956"/>
    <w:uiPriority w:val="39"/>
    <w:unhideWhenUsed/>
    <w:pPr>
      <w:pBdr/>
      <w:spacing w:after="100"/>
      <w:ind w:left="880"/>
    </w:pPr>
  </w:style>
  <w:style w:type="paragraph" w:styleId="950">
    <w:name w:val="toc 6"/>
    <w:basedOn w:val="956"/>
    <w:next w:val="956"/>
    <w:uiPriority w:val="39"/>
    <w:unhideWhenUsed/>
    <w:pPr>
      <w:pBdr/>
      <w:spacing w:after="100"/>
      <w:ind w:left="1100"/>
    </w:pPr>
  </w:style>
  <w:style w:type="paragraph" w:styleId="951">
    <w:name w:val="toc 7"/>
    <w:basedOn w:val="956"/>
    <w:next w:val="956"/>
    <w:uiPriority w:val="39"/>
    <w:unhideWhenUsed/>
    <w:pPr>
      <w:pBdr/>
      <w:spacing w:after="100"/>
      <w:ind w:left="1320"/>
    </w:pPr>
  </w:style>
  <w:style w:type="paragraph" w:styleId="952">
    <w:name w:val="toc 8"/>
    <w:basedOn w:val="956"/>
    <w:next w:val="956"/>
    <w:uiPriority w:val="39"/>
    <w:unhideWhenUsed/>
    <w:pPr>
      <w:pBdr/>
      <w:spacing w:after="100"/>
      <w:ind w:left="1540"/>
    </w:pPr>
  </w:style>
  <w:style w:type="paragraph" w:styleId="953">
    <w:name w:val="toc 9"/>
    <w:basedOn w:val="956"/>
    <w:next w:val="956"/>
    <w:uiPriority w:val="39"/>
    <w:unhideWhenUsed/>
    <w:pPr>
      <w:pBdr/>
      <w:spacing w:after="100"/>
      <w:ind w:left="1760"/>
    </w:p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table of figures"/>
    <w:basedOn w:val="956"/>
    <w:next w:val="956"/>
    <w:uiPriority w:val="99"/>
    <w:unhideWhenUsed/>
    <w:pPr>
      <w:pBdr/>
      <w:spacing w:after="0" w:afterAutospacing="0"/>
      <w:ind/>
    </w:pPr>
  </w:style>
  <w:style w:type="paragraph" w:styleId="956" w:default="1">
    <w:name w:val="Normal"/>
    <w:next w:val="956"/>
    <w:link w:val="956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7">
    <w:name w:val="Основной шрифт абзаца"/>
    <w:next w:val="957"/>
    <w:link w:val="956"/>
    <w:uiPriority w:val="1"/>
    <w:unhideWhenUsed/>
    <w:pPr>
      <w:pBdr/>
      <w:spacing/>
      <w:ind/>
    </w:pPr>
  </w:style>
  <w:style w:type="table" w:styleId="958">
    <w:name w:val="Обычная таблица"/>
    <w:next w:val="958"/>
    <w:link w:val="956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9">
    <w:name w:val="Нет списка"/>
    <w:next w:val="959"/>
    <w:link w:val="956"/>
    <w:uiPriority w:val="99"/>
    <w:semiHidden/>
    <w:unhideWhenUsed/>
    <w:pPr>
      <w:pBdr/>
      <w:spacing/>
      <w:ind/>
    </w:pPr>
  </w:style>
  <w:style w:type="paragraph" w:styleId="960">
    <w:name w:val="Абзац списка"/>
    <w:basedOn w:val="956"/>
    <w:next w:val="960"/>
    <w:link w:val="956"/>
    <w:uiPriority w:val="34"/>
    <w:qFormat/>
    <w:pPr>
      <w:pBdr/>
      <w:spacing/>
      <w:ind w:left="720"/>
      <w:contextualSpacing w:val="true"/>
    </w:pPr>
  </w:style>
  <w:style w:type="table" w:styleId="961">
    <w:name w:val="Сетка таблицы"/>
    <w:basedOn w:val="958"/>
    <w:next w:val="961"/>
    <w:link w:val="956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2">
    <w:name w:val="ConsPlusNormal"/>
    <w:next w:val="962"/>
    <w:link w:val="956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3">
    <w:name w:val="Верхний колонтитул"/>
    <w:basedOn w:val="956"/>
    <w:next w:val="963"/>
    <w:link w:val="96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4">
    <w:name w:val="Верхний колонтитул Знак"/>
    <w:next w:val="964"/>
    <w:link w:val="963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5">
    <w:name w:val="Нижний колонтитул"/>
    <w:basedOn w:val="956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6">
    <w:name w:val="Нижний колонтитул Знак"/>
    <w:basedOn w:val="957"/>
    <w:next w:val="966"/>
    <w:link w:val="965"/>
    <w:uiPriority w:val="99"/>
    <w:pPr>
      <w:pBdr/>
      <w:spacing/>
      <w:ind/>
    </w:pPr>
  </w:style>
  <w:style w:type="paragraph" w:styleId="967">
    <w:name w:val="Текст выноски"/>
    <w:basedOn w:val="956"/>
    <w:next w:val="967"/>
    <w:link w:val="968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8">
    <w:name w:val="Текст выноски Знак"/>
    <w:next w:val="968"/>
    <w:link w:val="96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9">
    <w:name w:val="ConsPlusCell"/>
    <w:next w:val="969"/>
    <w:link w:val="956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0">
    <w:name w:val="ConsPlusNonformat"/>
    <w:next w:val="970"/>
    <w:link w:val="956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1">
    <w:name w:val="Гиперссылка"/>
    <w:next w:val="971"/>
    <w:link w:val="956"/>
    <w:uiPriority w:val="99"/>
    <w:unhideWhenUsed/>
    <w:pPr>
      <w:pBdr/>
      <w:spacing/>
      <w:ind/>
    </w:pPr>
    <w:rPr>
      <w:color w:val="0563c1"/>
      <w:u w:val="single"/>
    </w:rPr>
  </w:style>
  <w:style w:type="table" w:styleId="972">
    <w:name w:val="Сетка таблицы1"/>
    <w:basedOn w:val="958"/>
    <w:next w:val="961"/>
    <w:link w:val="956"/>
    <w:pPr>
      <w:pBdr/>
      <w:spacing/>
      <w:ind/>
    </w:pPr>
    <w:rPr>
      <w:rFonts w:ascii="Times New Roman" w:hAnsi="Times New Roman" w:eastAsia="Times New Roman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3">
    <w:name w:val="Неразрешенное упоминание"/>
    <w:next w:val="973"/>
    <w:link w:val="95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4">
    <w:name w:val="Обычный (веб)"/>
    <w:basedOn w:val="956"/>
    <w:next w:val="974"/>
    <w:link w:val="956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106</cp:revision>
  <dcterms:created xsi:type="dcterms:W3CDTF">2023-07-21T08:39:00Z</dcterms:created>
  <dcterms:modified xsi:type="dcterms:W3CDTF">2025-12-16T09:41:57Z</dcterms:modified>
  <cp:version>1048576</cp:version>
</cp:coreProperties>
</file>