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386" w:firstLine="0" w:left="0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18.09.2024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803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 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утвержденных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постановлением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(с изменениями, внесенными постановлениями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12.05.2025 № 315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27.05.2025 № 363,</w:t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от 15.08.2025 № 605</w:t>
      </w:r>
      <w:r>
        <w:rPr>
          <w:rFonts w:ascii="Times New Roman" w:hAnsi="Times New Roman"/>
          <w:sz w:val="28"/>
          <w:szCs w:val="28"/>
          <w:highlight w:val="none"/>
        </w:rPr>
        <w:t xml:space="preserve">, о</w:t>
      </w:r>
      <w:r>
        <w:rPr>
          <w:rFonts w:ascii="Times New Roman" w:hAnsi="Times New Roman"/>
          <w:sz w:val="28"/>
          <w:szCs w:val="28"/>
          <w:highlight w:val="none"/>
        </w:rPr>
        <w:t xml:space="preserve">т 01.09.2025 № 650, от 13.11.2025 № 941)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е,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заменив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4 пункта 4.1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25 836 600,0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26 501 300,0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46BEE5DF"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2. Установить, что настоящее постановление действует до 31 декабря 2025 года включительно.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1EF6A4CD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постановление Кабинета Ми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н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F8552D6">
      <w:pPr>
        <w:pStyle w:val="958"/>
        <w:pBdr/>
        <w:spacing w:after="0" w:line="264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постановление Кабинета Ми</w:t>
      </w:r>
      <w:r>
        <w:rPr>
          <w:rFonts w:ascii="Times New Roman" w:hAnsi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</w:rPr>
        <w:t xml:space="preserve">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</w:t>
      </w:r>
      <w:r>
        <w:rPr>
          <w:rFonts w:ascii="Times New Roman" w:hAnsi="Times New Roman"/>
          <w:sz w:val="28"/>
          <w:szCs w:val="28"/>
          <w:highlight w:val="none"/>
        </w:rPr>
        <w:t xml:space="preserve">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во исполнение решения Раиса Республики Татарстан Минниханова Р.Н. от 16.12.2025 № </w:t>
      </w:r>
      <w:r>
        <w:rPr>
          <w:rFonts w:ascii="Times New Roman" w:hAnsi="Times New Roman"/>
          <w:sz w:val="28"/>
          <w:szCs w:val="28"/>
          <w:highlight w:val="none"/>
        </w:rPr>
        <w:t xml:space="preserve">63470-МР </w:t>
      </w:r>
      <w:r>
        <w:rPr>
          <w:rFonts w:ascii="Times New Roman" w:hAnsi="Times New Roman"/>
          <w:sz w:val="28"/>
          <w:szCs w:val="28"/>
          <w:highlight w:val="none"/>
        </w:rPr>
        <w:t xml:space="preserve">по вопросу выделения дополнительных средств из бюджета Республики Татарстан государственному бюджетному учреждению «</w:t>
      </w:r>
      <w:r>
        <w:rPr>
          <w:rFonts w:ascii="Times New Roman" w:hAnsi="Times New Roman"/>
          <w:sz w:val="28"/>
          <w:szCs w:val="28"/>
          <w:highlight w:val="none"/>
        </w:rPr>
        <w:t xml:space="preserve">Центр культурного наследия Татарстана</w:t>
      </w:r>
      <w:r>
        <w:rPr>
          <w:rFonts w:ascii="Times New Roman" w:hAnsi="Times New Roman"/>
          <w:sz w:val="28"/>
          <w:szCs w:val="28"/>
          <w:highlight w:val="none"/>
        </w:rPr>
        <w:t xml:space="preserve">» (далее – ГБУ «ЦКН») на увеличение объема финансового обеспечения выполнения государственного задания в целях </w:t>
      </w:r>
      <w:r>
        <w:rPr>
          <w:rFonts w:ascii="Times New Roman" w:hAnsi="Times New Roman"/>
          <w:sz w:val="28"/>
          <w:szCs w:val="28"/>
          <w:highlight w:val="none"/>
        </w:rPr>
        <w:t xml:space="preserve">возмещения затрат, связанных с передачей в 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собственность Республики Татарстан нежилого здания, расположенного по адресу: г.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Казань, ул. Кремлевская, д. 12/20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/>
      <w:r/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вносится изменение в нормативные затраты на государственную работу, выполняемую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ГБУ «ЦКН»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654</cp:revision>
  <dcterms:created xsi:type="dcterms:W3CDTF">2016-09-30T12:20:00Z</dcterms:created>
  <dcterms:modified xsi:type="dcterms:W3CDTF">2025-12-16T14:29:46Z</dcterms:modified>
  <cp:version>1048576</cp:version>
</cp:coreProperties>
</file>