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4"/>
        <w:pBdr/>
        <w:spacing w:after="0" w:before="0" w:line="264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г. Казань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both"/>
        <w:rPr/>
      </w:pPr>
      <w:r>
        <w:rPr>
          <w:rFonts w:cs="Times New Roman"/>
          <w:sz w:val="28"/>
        </w:rPr>
        <w:t xml:space="preserve">«___» _______ 2026</w:t>
        <w:tab/>
        <w:tab/>
        <w:tab/>
        <w:tab/>
        <w:tab/>
        <w:tab/>
        <w:tab/>
        <w:tab/>
        <w:tab/>
        <w:t xml:space="preserve">№ ___</w:t>
      </w:r>
      <w:r/>
    </w:p>
    <w:p>
      <w:pPr>
        <w:pStyle w:val="894"/>
        <w:pBdr/>
        <w:tabs>
          <w:tab w:val="clear" w:leader="none" w:pos="708"/>
          <w:tab w:val="left" w:leader="none" w:pos="2835"/>
          <w:tab w:val="left" w:leader="none" w:pos="3119"/>
          <w:tab w:val="left" w:leader="none" w:pos="3402"/>
          <w:tab w:val="left" w:leader="none" w:pos="4820"/>
          <w:tab w:val="left" w:leader="none" w:pos="5245"/>
        </w:tabs>
        <w:spacing w:line="240" w:lineRule="auto"/>
        <w:ind w:right="5385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pStyle w:val="894"/>
        <w:pBdr/>
        <w:tabs>
          <w:tab w:val="clear" w:leader="none" w:pos="708"/>
          <w:tab w:val="left" w:leader="none" w:pos="2835"/>
          <w:tab w:val="left" w:leader="none" w:pos="3119"/>
          <w:tab w:val="left" w:leader="none" w:pos="3402"/>
          <w:tab w:val="left" w:leader="none" w:pos="4820"/>
          <w:tab w:val="left" w:leader="none" w:pos="5245"/>
        </w:tabs>
        <w:spacing w:line="240" w:lineRule="auto"/>
        <w:ind w:right="5385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pStyle w:val="894"/>
        <w:pBdr/>
        <w:tabs>
          <w:tab w:val="clear" w:leader="none" w:pos="708"/>
          <w:tab w:val="left" w:leader="none" w:pos="2835"/>
          <w:tab w:val="left" w:leader="none" w:pos="2977"/>
          <w:tab w:val="left" w:leader="none" w:pos="3119"/>
          <w:tab w:val="left" w:leader="none" w:pos="3402"/>
          <w:tab w:val="left" w:leader="none" w:pos="5245"/>
        </w:tabs>
        <w:spacing w:line="240" w:lineRule="auto"/>
        <w:ind w:right="5103" w:firstLine="0"/>
        <w:rPr>
          <w:rFonts w:eastAsia="Times New Roman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изменений </w:t>
      </w:r>
      <w:r>
        <w:rPr>
          <w:rFonts w:eastAsia="Times New Roman"/>
          <w:szCs w:val="28"/>
          <w:lang w:eastAsia="ru-RU"/>
        </w:rPr>
        <w:t xml:space="preserve">в </w:t>
      </w:r>
      <w:r>
        <w:rPr>
          <w:szCs w:val="28"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r>
        <w:rPr>
          <w:rFonts w:eastAsia="Times New Roman"/>
          <w:szCs w:val="28"/>
          <w:lang w:eastAsia="ru-RU"/>
        </w:rPr>
        <w:t xml:space="preserve">, их территориальные органы и подведомственные учреждения»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4"/>
        <w:widowControl w:val="false"/>
        <w:pBdr/>
        <w:spacing w:line="240" w:lineRule="auto"/>
        <w:ind w:firstLine="54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4"/>
        <w:widowControl w:val="false"/>
        <w:pBdr/>
        <w:spacing w:line="240" w:lineRule="auto"/>
        <w:ind w:firstLine="54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4"/>
        <w:widowControl w:val="false"/>
        <w:pBdr/>
        <w:spacing w:line="240" w:lineRule="auto"/>
        <w:ind w:firstLine="709"/>
        <w:rPr>
          <w:spacing w:val="20"/>
          <w:szCs w:val="28"/>
        </w:rPr>
      </w:pPr>
      <w:r>
        <w:rPr>
          <w:szCs w:val="28"/>
        </w:rPr>
        <w:t xml:space="preserve">Кабинет Министров Республики Татарстан ПОСТАНОВЛЯЕТ</w:t>
      </w:r>
      <w:r>
        <w:rPr>
          <w:spacing w:val="20"/>
          <w:szCs w:val="28"/>
        </w:rPr>
        <w:t xml:space="preserve">:</w:t>
      </w:r>
      <w:r>
        <w:rPr>
          <w:spacing w:val="20"/>
          <w:szCs w:val="28"/>
        </w:rPr>
      </w:r>
      <w:r>
        <w:rPr>
          <w:spacing w:val="20"/>
          <w:szCs w:val="28"/>
        </w:rPr>
      </w:r>
    </w:p>
    <w:p>
      <w:pPr>
        <w:pStyle w:val="894"/>
        <w:widowControl w:val="false"/>
        <w:pBdr/>
        <w:spacing w:line="240" w:lineRule="auto"/>
        <w:ind w:firstLine="709"/>
        <w:rPr>
          <w:spacing w:val="20"/>
          <w:szCs w:val="28"/>
        </w:rPr>
      </w:pPr>
      <w:r>
        <w:rPr>
          <w:spacing w:val="20"/>
          <w:szCs w:val="28"/>
        </w:rPr>
      </w:r>
      <w:r>
        <w:rPr>
          <w:spacing w:val="20"/>
          <w:szCs w:val="28"/>
        </w:rPr>
      </w:r>
      <w:r>
        <w:rPr>
          <w:spacing w:val="20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highlight w:val="none"/>
        </w:rPr>
      </w:pPr>
      <w:r>
        <w:rPr>
          <w:szCs w:val="28"/>
        </w:rPr>
        <w:t xml:space="preserve">Внести </w:t>
      </w:r>
      <w:r>
        <w:rPr>
          <w:rFonts w:eastAsia="Times New Roman"/>
          <w:szCs w:val="28"/>
          <w:lang w:eastAsia="ru-RU"/>
        </w:rPr>
        <w:t xml:space="preserve">в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r>
        <w:rPr>
          <w:rFonts w:eastAsia="Times New Roman"/>
          <w:szCs w:val="28"/>
          <w:lang w:eastAsia="ru-RU"/>
        </w:rPr>
        <w:t xml:space="preserve">, их территориальные органы и подведомственные учреждения» </w:t>
      </w:r>
      <w:r>
        <w:rPr>
          <w:szCs w:val="28"/>
          <w:lang w:eastAsia="ru-RU"/>
        </w:rPr>
        <w:t xml:space="preserve">(с изменениями, внесенными постановлениями Кабинета Министров Республики Татарстан от 07.03</w:t>
      </w:r>
      <w:r>
        <w:rPr>
          <w:szCs w:val="28"/>
          <w:lang w:eastAsia="ru-RU"/>
        </w:rPr>
        <w:t xml:space="preserve">.2019 №165, от 17.05.2019  № 402, от 13.07.2019 № 572, от 02.11.2019   № 1006, от 18.02.2020 № 123, от 27.04.2020 № 331, от 09.06.2020 № 477, от 24.07.2020 № 622, от 05.09.2020 № 790, от 21.11.2020 № 1042, от 30.12.2020 № 1230, от 14.05.202</w:t>
      </w:r>
      <w:bookmarkStart w:id="0" w:name="_GoBack"/>
      <w:r/>
      <w:bookmarkEnd w:id="0"/>
      <w:r>
        <w:rPr>
          <w:szCs w:val="28"/>
          <w:lang w:eastAsia="ru-RU"/>
        </w:rPr>
        <w:t xml:space="preserve">1 № 334, от 30.06.2021 № 520, от 17.08.2021 № 739, от 01.09.2021 № 803, от 29.09.2021 № 927, от 14.12.2021 № 1229, от 30.12.2021 № 1357, от 24.02.2022 № 160, от 23.03.2022 № 259, от 07.04.2022 № 323, от 11.04.2022 № 345,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от 13.08.2022 № 806,  от 05.09.2022 № 960, от 06.10.2022 № 1077, от 10.10.2022 № 1088, от 28.11.2022 № 1265, от 03.02.2023  № 93, от 14.02.2023 № 144, от 20.03.2023 № 283, от 27.04.2023 № 536, от 16.06.2023 № 7</w:t>
      </w:r>
      <w:r>
        <w:rPr>
          <w:szCs w:val="28"/>
          <w:lang w:eastAsia="ru-RU"/>
        </w:rPr>
        <w:t xml:space="preserve">25, от 22.06.2023 № 732, от 04.07.2023 № 791, от 08.08.2023 № 959, от 06.10.2023 № 1246, от 30.10.2023 № 1364, от 21.12.2023 № 1666, от 30.12.2023 № 1762, от 04.03.2024 № 121, от 23.05.2024 № 359, от 02.08.2024 № 617, от 28.08.2024 № 708, </w:t>
      </w:r>
      <w:r>
        <w:rPr>
          <w:highlight w:val="none"/>
        </w:rPr>
        <w:t xml:space="preserve">от 16.11.2024 № 1016, от 25.11.2024 № 1052, от 29.11.2024 № 1081, от 20.01.2025 № 24</w:t>
      </w:r>
      <w:r>
        <w:rPr>
          <w:highlight w:val="none"/>
        </w:rPr>
        <w:t xml:space="preserve">, от 17.02.2025 № 91, </w:t>
      </w:r>
      <w:r>
        <w:rPr>
          <w:highlight w:val="none"/>
        </w:rPr>
        <w:t xml:space="preserve">от 24.03.2025 № 167,</w:t>
      </w:r>
      <w:r>
        <w:rPr>
          <w:highlight w:val="none"/>
        </w:rPr>
        <w:t xml:space="preserve"> от 10.05.2025 № 307, от 24.10.2025 № 860, от 20.11.2025 № 972, от 28.01.2026 №48, от 30.01.2026 №58</w:t>
      </w:r>
      <w:r>
        <w:rPr>
          <w:highlight w:val="none"/>
        </w:rPr>
        <w:t xml:space="preserve">), </w:t>
      </w:r>
      <w:r>
        <w:rPr>
          <w:szCs w:val="28"/>
          <w:shd w:val="clear" w:color="auto" w:fill="ffffff"/>
        </w:rPr>
        <w:t xml:space="preserve">с</w:t>
      </w:r>
      <w:r>
        <w:rPr>
          <w:szCs w:val="28"/>
        </w:rPr>
        <w:t xml:space="preserve">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разд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еле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Государственное бюджетное учреждение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Хозяйственное управление при Кабинете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норматив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 обеспеченности трансп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ортными средствами (предельно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го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 количеств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а) и нормативного пробега транспортных средств для отдельных организаций бюджетной сферы Республики Татарста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н,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утвержденных указанным постановлением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szCs w:val="28"/>
          <w:highlight w:val="none"/>
          <w:shd w:val="clear" w:color="auto" w:fill="ffffff"/>
          <w:lang w:eastAsia="ru-RU"/>
        </w:rPr>
        <w:t xml:space="preserve">в графе 4 </w:t>
      </w:r>
      <w:r>
        <w:rPr>
          <w:szCs w:val="28"/>
          <w:highlight w:val="none"/>
          <w:shd w:val="clear" w:color="auto" w:fill="ffffff"/>
        </w:rPr>
        <w:t xml:space="preserve">пункта 4</w:t>
      </w:r>
      <w:r>
        <w:rPr>
          <w:szCs w:val="28"/>
          <w:highlight w:val="none"/>
        </w:rPr>
        <w:t xml:space="preserve"> циф</w:t>
      </w:r>
      <w:r>
        <w:rPr>
          <w:szCs w:val="28"/>
          <w:highlight w:val="none"/>
        </w:rPr>
        <w:t xml:space="preserve">р</w:t>
      </w:r>
      <w:r>
        <w:rPr>
          <w:szCs w:val="28"/>
          <w:highlight w:val="none"/>
        </w:rPr>
        <w:t xml:space="preserve">ы</w:t>
      </w:r>
      <w:r>
        <w:rPr>
          <w:szCs w:val="28"/>
          <w:highlight w:val="none"/>
        </w:rPr>
        <w:t xml:space="preserve"> «</w:t>
      </w:r>
      <w:r>
        <w:rPr>
          <w:szCs w:val="28"/>
          <w:highlight w:val="none"/>
        </w:rPr>
        <w:t xml:space="preserve">42» заменить цифр</w:t>
      </w:r>
      <w:r>
        <w:rPr>
          <w:szCs w:val="28"/>
          <w:highlight w:val="none"/>
        </w:rPr>
        <w:t xml:space="preserve">ами</w:t>
      </w:r>
      <w:r>
        <w:rPr>
          <w:szCs w:val="28"/>
          <w:highlight w:val="none"/>
        </w:rPr>
        <w:t xml:space="preserve"> «</w:t>
      </w:r>
      <w:r>
        <w:rPr>
          <w:szCs w:val="28"/>
          <w:highlight w:val="none"/>
        </w:rPr>
        <w:t xml:space="preserve">45»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 w14:paraId="4D22AEC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szCs w:val="28"/>
          <w:highlight w:val="none"/>
          <w:shd w:val="clear" w:color="auto" w:fill="ffffff"/>
          <w:lang w:eastAsia="ru-RU"/>
        </w:rPr>
        <w:t xml:space="preserve">в графе 4 </w:t>
      </w:r>
      <w:r>
        <w:rPr>
          <w:szCs w:val="28"/>
          <w:highlight w:val="none"/>
          <w:shd w:val="clear" w:color="auto" w:fill="ffffff"/>
        </w:rPr>
        <w:t xml:space="preserve">пункта 7</w:t>
      </w:r>
      <w:r>
        <w:rPr>
          <w:szCs w:val="28"/>
          <w:highlight w:val="none"/>
        </w:rPr>
        <w:t xml:space="preserve"> циф</w:t>
      </w:r>
      <w:r>
        <w:rPr>
          <w:szCs w:val="28"/>
          <w:highlight w:val="none"/>
        </w:rPr>
        <w:t xml:space="preserve">р</w:t>
      </w:r>
      <w:r>
        <w:rPr>
          <w:szCs w:val="28"/>
          <w:highlight w:val="none"/>
        </w:rPr>
        <w:t xml:space="preserve">ы</w:t>
      </w:r>
      <w:r>
        <w:rPr>
          <w:szCs w:val="28"/>
          <w:highlight w:val="none"/>
        </w:rPr>
        <w:t xml:space="preserve"> «</w:t>
      </w:r>
      <w:r>
        <w:rPr>
          <w:szCs w:val="28"/>
          <w:highlight w:val="none"/>
        </w:rPr>
        <w:t xml:space="preserve">182» заменить цифр</w:t>
      </w:r>
      <w:r>
        <w:rPr>
          <w:szCs w:val="28"/>
          <w:highlight w:val="none"/>
        </w:rPr>
        <w:t xml:space="preserve">ами</w:t>
      </w:r>
      <w:r>
        <w:rPr>
          <w:szCs w:val="28"/>
          <w:highlight w:val="none"/>
        </w:rPr>
        <w:t xml:space="preserve"> «</w:t>
      </w:r>
      <w:r>
        <w:rPr>
          <w:szCs w:val="28"/>
          <w:highlight w:val="none"/>
        </w:rPr>
        <w:t xml:space="preserve">183»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94"/>
        <w:pBdr/>
        <w:spacing w:line="240" w:lineRule="auto"/>
        <w:ind w:right="-1" w:firstLine="709"/>
        <w:rPr>
          <w:highlight w:val="white"/>
          <w:shd w:val="clear" w:color="auto" w:fill="ffffff"/>
        </w:rPr>
      </w:pPr>
      <w:r>
        <w:rPr>
          <w:szCs w:val="28"/>
          <w:highlight w:val="white"/>
          <w:shd w:val="clear" w:color="auto" w:fill="ffffff"/>
          <w:lang w:eastAsia="ru-RU"/>
        </w:rPr>
        <w:t xml:space="preserve">в графе 4 строки «Итого» цифры «</w:t>
      </w:r>
      <w:r>
        <w:rPr>
          <w:szCs w:val="28"/>
          <w:highlight w:val="white"/>
          <w:shd w:val="clear" w:color="auto" w:fill="ffffff"/>
        </w:rPr>
        <w:t xml:space="preserve">489</w:t>
      </w:r>
      <w:r>
        <w:rPr>
          <w:szCs w:val="28"/>
          <w:highlight w:val="white"/>
          <w:shd w:val="clear" w:color="auto" w:fill="ffffff"/>
          <w:lang w:eastAsia="ru-RU"/>
        </w:rPr>
        <w:t xml:space="preserve">» заменить </w:t>
      </w:r>
      <w:r>
        <w:rPr>
          <w:szCs w:val="28"/>
          <w:highlight w:val="white"/>
          <w:shd w:val="clear" w:color="auto" w:fill="ffffff"/>
        </w:rPr>
        <w:t xml:space="preserve">цифрами </w:t>
      </w:r>
      <w:r>
        <w:rPr>
          <w:szCs w:val="28"/>
          <w:highlight w:val="white"/>
          <w:shd w:val="clear" w:color="auto" w:fill="ffffff"/>
          <w:lang w:eastAsia="ru-RU"/>
        </w:rPr>
        <w:t xml:space="preserve">«</w:t>
      </w:r>
      <w:r>
        <w:rPr>
          <w:szCs w:val="28"/>
          <w:highlight w:val="white"/>
          <w:shd w:val="clear" w:color="auto" w:fill="ffffff"/>
        </w:rPr>
        <w:t xml:space="preserve">4</w:t>
      </w:r>
      <w:r>
        <w:rPr>
          <w:szCs w:val="28"/>
          <w:highlight w:val="white"/>
          <w:shd w:val="clear" w:color="auto" w:fill="ffffff"/>
          <w:lang w:eastAsia="ru-RU"/>
        </w:rPr>
        <w:t xml:space="preserve">93»</w:t>
      </w:r>
      <w:r>
        <w:rPr>
          <w:szCs w:val="28"/>
          <w:highlight w:val="white"/>
          <w:shd w:val="clear" w:color="auto" w:fill="ffffff"/>
        </w:rPr>
        <w:t xml:space="preserve">.</w:t>
      </w:r>
      <w:r>
        <w:rPr>
          <w:highlight w:val="white"/>
          <w:shd w:val="clear" w:color="auto" w:fill="ffffff"/>
        </w:rPr>
      </w:r>
      <w:r>
        <w:rPr>
          <w:highlight w:val="white"/>
          <w:shd w:val="clear" w:color="auto" w:fill="ffffff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8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pBdr/>
        <w:spacing w:line="240" w:lineRule="auto"/>
        <w:ind/>
        <w:rPr/>
      </w:pPr>
      <w:r>
        <w:rPr>
          <w:szCs w:val="28"/>
          <w:highlight w:val="none"/>
        </w:rPr>
      </w:r>
      <w:r/>
    </w:p>
    <w:p>
      <w:pPr>
        <w:pStyle w:val="894"/>
        <w:pBdr/>
        <w:spacing w:line="240" w:lineRule="auto"/>
        <w:ind/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pBdr/>
        <w:spacing w:line="240" w:lineRule="auto"/>
        <w:ind/>
        <w:rPr>
          <w:highlight w:val="none"/>
        </w:rPr>
      </w:pPr>
      <w:r>
        <w:rPr>
          <w:szCs w:val="28"/>
        </w:rPr>
        <w:t xml:space="preserve">Премьер-министр                                                                                       А.В. Песошин</w:t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pBdr/>
        <w:spacing w:line="240" w:lineRule="auto"/>
        <w:ind/>
        <w:rPr>
          <w:highlight w:val="none"/>
        </w:rPr>
      </w:pPr>
      <w:r>
        <w:rPr>
          <w:szCs w:val="28"/>
        </w:rPr>
        <w:t xml:space="preserve">Республики Татарстан</w:t>
        <w:tab/>
        <w:t xml:space="preserve">                                                                               </w:t>
      </w:r>
      <w:r>
        <w:rPr>
          <w:szCs w:val="28"/>
        </w:rPr>
      </w:r>
      <w:r>
        <w:rPr>
          <w:szCs w:val="28"/>
        </w:rPr>
      </w:r>
    </w:p>
    <w:p w14:paraId="174708E5">
      <w:pPr>
        <w:pStyle w:val="894"/>
        <w:pBdr/>
        <w:spacing w:line="240" w:lineRule="auto"/>
        <w:ind/>
        <w:rPr/>
      </w:pPr>
      <w:r/>
      <w:r/>
      <w:r/>
    </w:p>
    <w:p w14:paraId="02DA4084">
      <w:pPr>
        <w:pStyle w:val="894"/>
        <w:pBdr/>
        <w:spacing w:line="240" w:lineRule="auto"/>
        <w:ind/>
        <w:rPr/>
      </w:pPr>
      <w:r/>
      <w:r/>
      <w:r/>
    </w:p>
    <w:p w14:paraId="69B352F8">
      <w:pPr>
        <w:pStyle w:val="894"/>
        <w:pBdr/>
        <w:spacing w:line="240" w:lineRule="auto"/>
        <w:ind/>
        <w:rPr/>
      </w:pPr>
      <w:r/>
      <w:r/>
      <w:r/>
    </w:p>
    <w:p w14:paraId="18EF0DE7">
      <w:pPr>
        <w:pStyle w:val="894"/>
        <w:pBdr/>
        <w:spacing w:line="240" w:lineRule="auto"/>
        <w:ind/>
        <w:rPr/>
      </w:pPr>
      <w:r/>
      <w:r/>
      <w:r/>
    </w:p>
    <w:p w14:paraId="3AA89997">
      <w:pPr>
        <w:pStyle w:val="894"/>
        <w:pBdr/>
        <w:spacing w:line="240" w:lineRule="auto"/>
        <w:ind/>
        <w:rPr/>
      </w:pPr>
      <w:r/>
      <w:r/>
      <w:r/>
    </w:p>
    <w:p w14:paraId="3A83D531">
      <w:pPr>
        <w:pStyle w:val="894"/>
        <w:pBdr/>
        <w:spacing w:line="240" w:lineRule="auto"/>
        <w:ind/>
        <w:rPr/>
      </w:pPr>
      <w:r/>
      <w:r/>
      <w:r/>
    </w:p>
    <w:p w14:paraId="53D567DD">
      <w:pPr>
        <w:pBdr/>
        <w:shd w:val="nil"/>
        <w:spacing/>
        <w:ind/>
        <w:rPr>
          <w:b/>
          <w:bCs/>
        </w:rPr>
      </w:pPr>
      <w:r>
        <w:rPr>
          <w:b/>
          <w:highlight w:val="none"/>
        </w:rPr>
        <w:br w:type="page" w:clear="all"/>
      </w:r>
      <w:r>
        <w:rPr>
          <w:b/>
          <w:highlight w:val="none"/>
        </w:rPr>
      </w:r>
      <w:r>
        <w:rPr>
          <w:b/>
          <w:highlight w:val="none"/>
        </w:rPr>
      </w:r>
    </w:p>
    <w:p w14:paraId="45C415CD">
      <w:pPr>
        <w:pBdr/>
        <w:spacing w:line="276" w:lineRule="auto"/>
        <w:ind w:firstLine="0"/>
        <w:jc w:val="center"/>
        <w:rPr>
          <w:b/>
          <w:bCs/>
          <w:highlight w:val="none"/>
        </w:rPr>
      </w:pPr>
      <w:r>
        <w:rPr>
          <w:b/>
        </w:rPr>
        <w:t xml:space="preserve">ПОЯСНИТЕЛЬНАЯ ЗАПИСКА</w:t>
      </w:r>
      <w:r>
        <w:rPr>
          <w:b/>
        </w:rPr>
      </w:r>
      <w:r>
        <w:rPr>
          <w:b/>
        </w:rPr>
      </w:r>
    </w:p>
    <w:p w14:paraId="3B4F3089">
      <w:pPr>
        <w:pBdr/>
        <w:spacing w:line="276" w:lineRule="auto"/>
        <w:ind w:firstLine="0"/>
        <w:jc w:val="center"/>
        <w:rPr/>
      </w:pPr>
      <w:r/>
      <w:r/>
      <w:r/>
    </w:p>
    <w:p w14:paraId="048A72F4">
      <w:pPr>
        <w:pBdr/>
        <w:spacing w:line="276" w:lineRule="auto"/>
        <w:ind w:firstLine="0"/>
        <w:jc w:val="center"/>
        <w:rPr>
          <w:b/>
          <w:bCs/>
        </w:rPr>
      </w:pPr>
      <w:r>
        <w:rPr>
          <w:b/>
        </w:rPr>
        <w:t xml:space="preserve">к проекту постановления Кабинета Министров Р</w:t>
      </w:r>
      <w:r>
        <w:rPr>
          <w:b/>
          <w:bCs/>
        </w:rPr>
        <w:t xml:space="preserve">еспублики Татарстан</w:t>
      </w:r>
      <w:r>
        <w:rPr>
          <w:b/>
          <w:bCs/>
        </w:rPr>
      </w:r>
      <w:r>
        <w:rPr>
          <w:b/>
          <w:bCs/>
        </w:rPr>
      </w:r>
    </w:p>
    <w:p w14:paraId="53982CD8">
      <w:pPr>
        <w:pBdr/>
        <w:spacing w:line="276" w:lineRule="auto"/>
        <w:ind w:firstLine="0"/>
        <w:jc w:val="center"/>
        <w:rPr>
          <w:b/>
          <w:bCs/>
        </w:rPr>
      </w:pPr>
      <w:r>
        <w:rPr>
          <w:b/>
          <w:bCs/>
          <w:lang w:eastAsia="ru-RU"/>
        </w:rPr>
        <w:t xml:space="preserve">«О внесении изменений в </w:t>
      </w:r>
      <w:r>
        <w:rPr>
          <w:b/>
          <w:bCs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r>
        <w:rPr>
          <w:b/>
          <w:bCs/>
          <w:lang w:eastAsia="ru-RU"/>
        </w:rPr>
        <w:t xml:space="preserve">, их территориальные органы</w:t>
      </w:r>
      <w:r>
        <w:rPr>
          <w:b/>
          <w:bCs/>
          <w:lang w:eastAsia="ru-RU"/>
        </w:rPr>
        <w:t xml:space="preserve"> и подведомственные учреждения»</w:t>
      </w:r>
      <w:r>
        <w:rPr>
          <w:b/>
          <w:bCs/>
        </w:rPr>
      </w:r>
      <w:r>
        <w:rPr>
          <w:b/>
          <w:bCs/>
        </w:rPr>
      </w:r>
    </w:p>
    <w:p w14:paraId="34648DC6">
      <w:pPr>
        <w:pBdr/>
        <w:spacing/>
        <w:ind/>
        <w:rPr/>
      </w:pPr>
      <w:r/>
      <w:r/>
      <w:r/>
    </w:p>
    <w:p w14:paraId="6112F10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9" w:left="0"/>
        <w:jc w:val="both"/>
        <w:rPr/>
      </w:pPr>
      <w:r>
        <w:t xml:space="preserve">Проект постановления Кабинета Министров Республики Татарстан </w:t>
      </w:r>
      <w:r>
        <w:rPr>
          <w:rFonts w:eastAsia="Times New Roman"/>
          <w:szCs w:val="28"/>
          <w:lang w:eastAsia="ru-RU"/>
        </w:rPr>
        <w:t xml:space="preserve">«О внесении изменений в </w:t>
      </w:r>
      <w:r>
        <w:rPr>
          <w:szCs w:val="28"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</w:t>
      </w:r>
      <w:r>
        <w:rPr>
          <w:szCs w:val="28"/>
        </w:rPr>
        <w:t xml:space="preserve">ание транспортных средств, обслуживающих органы государственной власти Республики Татарстан</w:t>
      </w:r>
      <w:r>
        <w:rPr>
          <w:rFonts w:eastAsia="Times New Roman"/>
          <w:szCs w:val="28"/>
          <w:lang w:eastAsia="ru-RU"/>
        </w:rPr>
        <w:t xml:space="preserve">, их территориальные органы и подведомственные учреждения»</w:t>
      </w:r>
      <w:r>
        <w:rPr>
          <w:lang w:eastAsia="ru-RU"/>
        </w:rPr>
        <w:t xml:space="preserve"> (далее - ПКМ 1073)</w:t>
      </w:r>
      <w:r>
        <w:t xml:space="preserve"> р</w:t>
      </w:r>
      <w:r>
        <w:rPr>
          <w:highlight w:val="white"/>
        </w:rPr>
        <w:t xml:space="preserve">азработан на основании обращения </w:t>
      </w:r>
      <w:r>
        <w:rPr>
          <w:szCs w:val="28"/>
        </w:rPr>
        <w:t xml:space="preserve">исполняющего обязанности</w:t>
      </w:r>
      <w:r>
        <w:rPr>
          <w:szCs w:val="28"/>
        </w:rPr>
        <w:t xml:space="preserve"> Председателя Государственног</w:t>
      </w:r>
      <w:r>
        <w:rPr>
          <w:szCs w:val="28"/>
        </w:rPr>
        <w:t xml:space="preserve">о Совета Республики Татарстан М.Г. Ахметова о рассмотрении возможности увеличения предельного количества транспортных средств в автоколонне, обслуживающей депутатов и сотрудников Аппарата Государственного Совета Республики Татарстан</w:t>
      </w:r>
      <w:r>
        <w:rPr>
          <w:szCs w:val="28"/>
        </w:rPr>
        <w:t xml:space="preserve"> </w:t>
      </w:r>
      <w:r>
        <w:rPr>
          <w:szCs w:val="28"/>
        </w:rPr>
        <w:t xml:space="preserve">на 3 единицы</w:t>
      </w:r>
      <w:r>
        <w:t xml:space="preserve"> </w:t>
      </w:r>
      <w:r>
        <w:t xml:space="preserve">в связи с</w:t>
      </w:r>
      <w:r>
        <w:t xml:space="preserve"> учреждением звания Почетного Председателя </w:t>
      </w:r>
      <w:r>
        <w:rPr>
          <w:szCs w:val="28"/>
        </w:rPr>
        <w:t xml:space="preserve">Государственного </w:t>
      </w:r>
      <w:r>
        <w:t xml:space="preserve">Совета Республики Татарстан, необходимостью  его обеспечения служебным транспортным средством, а также образованием в структуре </w:t>
      </w:r>
      <w:r>
        <w:rPr>
          <w:szCs w:val="28"/>
        </w:rPr>
        <w:t xml:space="preserve">Аппарата Государственного Совета Республики Татарстан новой </w:t>
      </w:r>
      <w:r>
        <w:t xml:space="preserve">структур</w:t>
      </w:r>
      <w:r>
        <w:t xml:space="preserve">ной единицы</w:t>
      </w:r>
      <w:r>
        <w:rPr>
          <w:szCs w:val="28"/>
        </w:rPr>
        <w:t xml:space="preserve"> - </w:t>
      </w:r>
      <w:r>
        <w:t xml:space="preserve">Секретариата Почетного Председателя ГС РТ.</w:t>
      </w:r>
      <w:r/>
      <w:r/>
    </w:p>
    <w:p w14:paraId="21FA09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9" w:left="0"/>
        <w:jc w:val="both"/>
        <w:rPr/>
      </w:pPr>
      <w:r>
        <w:t xml:space="preserve">В связи с этим </w:t>
      </w:r>
      <w:r>
        <w:rPr>
          <w:lang w:eastAsia="ru-RU"/>
        </w:rPr>
        <w:t xml:space="preserve">в </w:t>
      </w:r>
      <w:r>
        <w:t xml:space="preserve">разделе </w:t>
      </w:r>
      <w:r>
        <w:rPr>
          <w:lang w:eastAsia="ru-RU"/>
        </w:rPr>
        <w:t xml:space="preserve">«</w:t>
      </w:r>
      <w:r>
        <w:t xml:space="preserve">Государственное бюджетное учреждение </w:t>
      </w:r>
      <w:r>
        <w:rPr>
          <w:lang w:eastAsia="ru-RU"/>
        </w:rPr>
        <w:t xml:space="preserve">«</w:t>
      </w:r>
      <w:r>
        <w:t xml:space="preserve">Хозяйственное управление при Кабинете Министров Республики </w:t>
      </w:r>
      <w:r>
        <w:t xml:space="preserve">Татарстан</w:t>
      </w:r>
      <w:r>
        <w:rPr>
          <w:lang w:eastAsia="ru-RU"/>
        </w:rPr>
        <w:t xml:space="preserve">»</w:t>
      </w:r>
      <w:r>
        <w:t xml:space="preserve">  </w:t>
      </w:r>
      <w:r>
        <w:rPr>
          <w:lang w:eastAsia="ru-RU"/>
        </w:rPr>
        <w:t xml:space="preserve">норматив</w:t>
      </w:r>
      <w:r>
        <w:t xml:space="preserve">ов</w:t>
      </w:r>
      <w:r>
        <w:rPr>
          <w:lang w:eastAsia="ru-RU"/>
        </w:rPr>
        <w:t xml:space="preserve"> обеспеченности транспортными средствами (предельного </w:t>
      </w:r>
      <w:r>
        <w:rPr>
          <w:lang w:eastAsia="ru-RU"/>
        </w:rPr>
        <w:t xml:space="preserve">количества) и нормативного пробега транспортных средств для отдельных организаций бюджетной сферы Республики Татарстан, </w:t>
      </w:r>
      <w:r>
        <w:t xml:space="preserve">вносится </w:t>
      </w:r>
      <w:r>
        <w:t xml:space="preserve">следующее </w:t>
      </w:r>
      <w:r>
        <w:t xml:space="preserve">изменение</w:t>
      </w:r>
      <w:r>
        <w:t xml:space="preserve">:</w:t>
      </w:r>
      <w:r/>
      <w:r/>
    </w:p>
    <w:p w14:paraId="2C184B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9" w:left="0"/>
        <w:jc w:val="both"/>
        <w:rPr/>
      </w:pPr>
      <w:r>
        <w:rPr>
          <w:lang w:eastAsia="ru-RU"/>
        </w:rPr>
        <w:t xml:space="preserve">в графе 4 </w:t>
      </w:r>
      <w:r>
        <w:t xml:space="preserve">пункта 4 цифры «42» заменить цифрами «45».</w:t>
      </w:r>
      <w:r/>
      <w:r/>
    </w:p>
    <w:p w14:paraId="7A87B3E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9" w:left="0"/>
        <w:jc w:val="both"/>
        <w:rPr/>
      </w:pPr>
      <w:r>
        <w:rPr>
          <w:bCs/>
        </w:rPr>
        <w:t xml:space="preserve">Объем дополнительных средств на ежегод</w:t>
      </w:r>
      <w:r>
        <w:t xml:space="preserve">ное содержание </w:t>
      </w:r>
      <w:r>
        <w:t xml:space="preserve">легковых автомобилей с учетом заработной платы водителей (годовой нормативный пробег каждого - 32 805 км) в соответствии с ПКМ 1073 </w:t>
      </w:r>
      <w:r>
        <w:t xml:space="preserve">составит 2</w:t>
      </w:r>
      <w:r>
        <w:t xml:space="preserve"> 194 285,64 рублей.</w:t>
      </w:r>
      <w:r/>
      <w:r/>
    </w:p>
    <w:p w14:paraId="358018C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9" w:left="0"/>
        <w:jc w:val="both"/>
        <w:rPr>
          <w:highlight w:val="white"/>
        </w:rPr>
      </w:pPr>
      <w:r>
        <w:rPr>
          <w:highlight w:val="white"/>
        </w:rPr>
        <w:t xml:space="preserve">В связи с отсутствием в разделе «Государственное бюджетное учреждение «Хозяйственное управлен</w:t>
      </w:r>
      <w:r>
        <w:rPr>
          <w:highlight w:val="white"/>
        </w:rPr>
        <w:t xml:space="preserve">ие при Кабинете Министров Республики Татарстан» нормативов обеспеченности транспортными средствами (предельного количества) и нормативного пробега транспортных средств для отдельных организаций бюджетной сферы Республики Татарстан данных, требуется дополни</w:t>
      </w:r>
      <w:r>
        <w:rPr>
          <w:highlight w:val="white"/>
        </w:rPr>
        <w:t xml:space="preserve">ть ПКМ 1073 изменениями об увеличении </w:t>
      </w:r>
      <w:r>
        <w:rPr>
          <w:highlight w:val="white"/>
        </w:rPr>
        <w:t xml:space="preserve">нормативного количества транспортных средств </w:t>
      </w:r>
      <w:r>
        <w:rPr>
          <w:highlight w:val="white"/>
        </w:rPr>
        <w:t xml:space="preserve"> для Министерства труда, занятости и социальной защиты Республики Татарстан и его подведомственных учреждений (в редакции постановления Кабинета Министров Республики Татарст</w:t>
      </w:r>
      <w:r>
        <w:rPr>
          <w:highlight w:val="white"/>
        </w:rPr>
        <w:t xml:space="preserve">ан от 20 ноября 2025 г. </w:t>
      </w:r>
      <w:r>
        <w:rPr>
          <w:highlight w:val="white"/>
        </w:rPr>
        <w:t xml:space="preserve">№</w:t>
      </w:r>
      <w:r>
        <w:rPr>
          <w:highlight w:val="white"/>
        </w:rPr>
        <w:t xml:space="preserve"> 972)</w:t>
      </w:r>
      <w:r>
        <w:rPr>
          <w:highlight w:val="white"/>
        </w:rPr>
        <w:t xml:space="preserve">.</w:t>
      </w:r>
      <w:r>
        <w:t xml:space="preserve"> В связи с утверждением этого постановления необходимо привести в соответствие количество автомобилей </w:t>
      </w:r>
      <w:r>
        <w:rPr>
          <w:highlight w:val="white"/>
        </w:rPr>
        <w:t xml:space="preserve">Государственного бюджетного учреждения «Хозяйственное управление при Кабинете Министров Республики Татарстан»:</w:t>
      </w:r>
      <w:r>
        <w:rPr>
          <w:highlight w:val="white"/>
        </w:rPr>
      </w:r>
      <w:r>
        <w:rPr>
          <w:highlight w:val="white"/>
        </w:rPr>
      </w:r>
    </w:p>
    <w:p w14:paraId="182D1AA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9" w:left="0"/>
        <w:jc w:val="both"/>
        <w:rPr>
          <w:rFonts w:eastAsia="Times New Roman" w:cs="Times New Roman"/>
          <w:szCs w:val="28"/>
          <w:highlight w:val="white"/>
        </w:rPr>
      </w:pPr>
      <w:r>
        <w:rPr>
          <w:highlight w:val="white"/>
          <w:lang w:eastAsia="ru-RU"/>
        </w:rPr>
        <w:t xml:space="preserve">«в </w:t>
      </w:r>
      <w:r>
        <w:rPr>
          <w:highlight w:val="white"/>
        </w:rPr>
        <w:t xml:space="preserve">разделе </w:t>
      </w:r>
      <w:r>
        <w:rPr>
          <w:highlight w:val="white"/>
          <w:lang w:eastAsia="ru-RU"/>
        </w:rPr>
        <w:t xml:space="preserve">«</w:t>
      </w:r>
      <w:r>
        <w:rPr>
          <w:highlight w:val="white"/>
        </w:rPr>
        <w:t xml:space="preserve">Государственное бюджетное учреждение </w:t>
      </w:r>
      <w:r>
        <w:rPr>
          <w:highlight w:val="white"/>
          <w:lang w:eastAsia="ru-RU"/>
        </w:rPr>
        <w:t xml:space="preserve">«</w:t>
      </w:r>
      <w:r>
        <w:rPr>
          <w:highlight w:val="white"/>
        </w:rPr>
        <w:t xml:space="preserve">Хозяйственное управление при Кабине</w:t>
      </w:r>
      <w:r>
        <w:rPr>
          <w:rFonts w:eastAsia="Times New Roman" w:cs="Times New Roman"/>
          <w:szCs w:val="28"/>
          <w:highlight w:val="white"/>
        </w:rPr>
        <w:t xml:space="preserve">те Министров Республики </w:t>
      </w:r>
      <w:r>
        <w:rPr>
          <w:rFonts w:eastAsia="Times New Roman" w:cs="Times New Roman"/>
          <w:szCs w:val="28"/>
          <w:highlight w:val="white"/>
        </w:rPr>
        <w:t xml:space="preserve">Татарстан</w:t>
      </w:r>
      <w:r>
        <w:rPr>
          <w:rFonts w:eastAsia="Times New Roman" w:cs="Times New Roman"/>
          <w:szCs w:val="28"/>
          <w:highlight w:val="white"/>
          <w:lang w:eastAsia="ru-RU"/>
        </w:rPr>
        <w:t xml:space="preserve">»</w:t>
      </w:r>
      <w:r>
        <w:rPr>
          <w:rFonts w:eastAsia="Times New Roman" w:cs="Times New Roman"/>
          <w:szCs w:val="28"/>
          <w:highlight w:val="white"/>
        </w:rPr>
        <w:t xml:space="preserve">  </w:t>
      </w:r>
      <w:r>
        <w:rPr>
          <w:rFonts w:eastAsia="Times New Roman" w:cs="Times New Roman"/>
          <w:szCs w:val="28"/>
          <w:highlight w:val="white"/>
          <w:lang w:eastAsia="ru-RU"/>
        </w:rPr>
        <w:t xml:space="preserve">норматив</w:t>
      </w:r>
      <w:r>
        <w:rPr>
          <w:rFonts w:eastAsia="Times New Roman" w:cs="Times New Roman"/>
          <w:szCs w:val="28"/>
          <w:highlight w:val="white"/>
        </w:rPr>
        <w:t xml:space="preserve">ов</w:t>
      </w:r>
      <w:r>
        <w:rPr>
          <w:rFonts w:eastAsia="Times New Roman" w:cs="Times New Roman"/>
          <w:szCs w:val="28"/>
          <w:highlight w:val="white"/>
          <w:lang w:eastAsia="ru-RU"/>
        </w:rPr>
        <w:t xml:space="preserve"> обеспеченности транспортными средствами (предельного количества) и нормативного пробега транспортных </w:t>
      </w:r>
      <w:r>
        <w:rPr>
          <w:rFonts w:eastAsia="Times New Roman" w:cs="Times New Roman"/>
          <w:szCs w:val="28"/>
          <w:highlight w:val="white"/>
          <w:lang w:eastAsia="ru-RU"/>
        </w:rPr>
        <w:t xml:space="preserve">средств для отдельных организаций бюджетной сферы Республики Татарстан:</w:t>
      </w:r>
      <w:r>
        <w:rPr>
          <w:rFonts w:eastAsia="Times New Roman" w:cs="Times New Roman"/>
          <w:szCs w:val="28"/>
          <w:highlight w:val="white"/>
        </w:rPr>
      </w:r>
      <w:r>
        <w:rPr>
          <w:rFonts w:eastAsia="Times New Roman" w:cs="Times New Roman"/>
          <w:szCs w:val="28"/>
          <w:highlight w:val="white"/>
        </w:rPr>
      </w:r>
    </w:p>
    <w:p w14:paraId="1264C47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9" w:left="0"/>
        <w:jc w:val="both"/>
        <w:rPr>
          <w:rFonts w:eastAsia="Times New Roman" w:cs="Times New Roman"/>
          <w:color w:val="000000"/>
          <w:szCs w:val="28"/>
          <w:highlight w:val="white"/>
        </w:rPr>
      </w:pPr>
      <w:r>
        <w:rPr>
          <w:szCs w:val="28"/>
          <w:highlight w:val="white"/>
          <w:shd w:val="clear" w:color="auto" w:fill="ffffff"/>
          <w:lang w:eastAsia="ru-RU"/>
        </w:rPr>
        <w:t xml:space="preserve">в графе 4 </w:t>
      </w:r>
      <w:r>
        <w:rPr>
          <w:szCs w:val="28"/>
          <w:highlight w:val="white"/>
          <w:shd w:val="clear" w:color="auto" w:fill="ffffff"/>
        </w:rPr>
        <w:t xml:space="preserve">пункта 7</w:t>
      </w:r>
      <w:r>
        <w:rPr>
          <w:szCs w:val="28"/>
          <w:highlight w:val="white"/>
        </w:rPr>
        <w:t xml:space="preserve"> цифры «182» заменить цифрами «183»</w:t>
      </w:r>
      <w:r>
        <w:rPr>
          <w:rFonts w:eastAsia="Times New Roman" w:cs="Times New Roman"/>
          <w:szCs w:val="28"/>
          <w:highlight w:val="white"/>
        </w:rPr>
        <w:t xml:space="preserve">;</w:t>
      </w:r>
      <w:r>
        <w:rPr>
          <w:rFonts w:eastAsia="Times New Roman" w:cs="Times New Roman"/>
          <w:color w:val="000000"/>
          <w:szCs w:val="28"/>
          <w:highlight w:val="white"/>
        </w:rPr>
      </w:r>
      <w:r>
        <w:rPr>
          <w:rFonts w:eastAsia="Times New Roman" w:cs="Times New Roman"/>
          <w:color w:val="000000"/>
          <w:szCs w:val="28"/>
          <w:highlight w:val="white"/>
        </w:rPr>
      </w:r>
    </w:p>
    <w:p w14:paraId="649EB9DD">
      <w:pPr>
        <w:pBdr/>
        <w:spacing w:line="360" w:lineRule="auto"/>
        <w:ind w:right="0" w:firstLine="709" w:left="0"/>
        <w:rPr>
          <w:highlight w:val="white"/>
          <w:shd w:val="clear" w:color="auto" w:fill="ffffff"/>
        </w:rPr>
      </w:pPr>
      <w:r>
        <w:rPr>
          <w:szCs w:val="28"/>
          <w:highlight w:val="white"/>
          <w:shd w:val="clear" w:color="auto" w:fill="ffffff"/>
          <w:lang w:eastAsia="ru-RU"/>
        </w:rPr>
        <w:t xml:space="preserve">в графе 4 строки «Итого» цифры «</w:t>
      </w:r>
      <w:r>
        <w:rPr>
          <w:szCs w:val="28"/>
          <w:highlight w:val="white"/>
          <w:shd w:val="clear" w:color="auto" w:fill="ffffff"/>
        </w:rPr>
        <w:t xml:space="preserve">489</w:t>
      </w:r>
      <w:r>
        <w:rPr>
          <w:szCs w:val="28"/>
          <w:highlight w:val="white"/>
          <w:shd w:val="clear" w:color="auto" w:fill="ffffff"/>
          <w:lang w:eastAsia="ru-RU"/>
        </w:rPr>
        <w:t xml:space="preserve">» заменить </w:t>
      </w:r>
      <w:r>
        <w:rPr>
          <w:szCs w:val="28"/>
          <w:highlight w:val="white"/>
          <w:shd w:val="clear" w:color="auto" w:fill="ffffff"/>
        </w:rPr>
        <w:t xml:space="preserve">цифрами </w:t>
      </w:r>
      <w:r>
        <w:rPr>
          <w:szCs w:val="28"/>
          <w:highlight w:val="white"/>
          <w:shd w:val="clear" w:color="auto" w:fill="ffffff"/>
          <w:lang w:eastAsia="ru-RU"/>
        </w:rPr>
        <w:t xml:space="preserve">«</w:t>
      </w:r>
      <w:r>
        <w:rPr>
          <w:szCs w:val="28"/>
          <w:highlight w:val="white"/>
          <w:shd w:val="clear" w:color="auto" w:fill="ffffff"/>
        </w:rPr>
        <w:t xml:space="preserve">493</w:t>
      </w:r>
      <w:r>
        <w:rPr>
          <w:szCs w:val="28"/>
          <w:highlight w:val="white"/>
          <w:shd w:val="clear" w:color="auto" w:fill="ffffff"/>
          <w:lang w:eastAsia="ru-RU"/>
        </w:rPr>
        <w:t xml:space="preserve">»»</w:t>
      </w:r>
      <w:r>
        <w:rPr>
          <w:szCs w:val="28"/>
          <w:highlight w:val="white"/>
          <w:shd w:val="clear" w:color="auto" w:fill="ffffff"/>
        </w:rPr>
        <w:t xml:space="preserve">.</w:t>
      </w:r>
      <w:r>
        <w:rPr>
          <w:highlight w:val="white"/>
          <w:shd w:val="clear" w:color="auto" w:fill="ffffff"/>
        </w:rPr>
      </w:r>
      <w:r>
        <w:rPr>
          <w:highlight w:val="white"/>
          <w:shd w:val="clear" w:color="auto" w:fill="ffffff"/>
        </w:rPr>
      </w:r>
    </w:p>
    <w:p w14:paraId="2EA95AB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right="0" w:firstLine="709" w:left="0"/>
        <w:jc w:val="both"/>
        <w:rPr/>
      </w:pPr>
      <w:r>
        <w:rPr>
          <w:rFonts w:eastAsia="Times New Roman" w:cs="Times New Roman"/>
          <w:color w:val="000000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  <w:r/>
    </w:p>
    <w:p w14:paraId="5AEC442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right="0" w:firstLine="709" w:left="0"/>
        <w:jc w:val="both"/>
        <w:rPr/>
      </w:pPr>
      <w:r>
        <w:rPr>
          <w:rFonts w:eastAsia="Times New Roman" w:cs="Times New Roman"/>
          <w:color w:val="000000"/>
        </w:rPr>
        <w:t xml:space="preserve">По </w:t>
      </w:r>
      <w:r>
        <w:rPr>
          <w:rFonts w:eastAsia="Times New Roman" w:cs="Times New Roman"/>
          <w:color w:val="000000"/>
        </w:rPr>
        <w:t xml:space="preserve">итогам  независимой</w:t>
      </w:r>
      <w:r>
        <w:rPr>
          <w:rFonts w:eastAsia="Times New Roman" w:cs="Times New Roman"/>
          <w:color w:val="000000"/>
        </w:rPr>
        <w:t xml:space="preserve"> антикоррупционной экспертизы проекта постановления Кабинета Министров Республики Татарстан заключе</w:t>
      </w:r>
      <w:r>
        <w:rPr>
          <w:rFonts w:eastAsia="Times New Roman" w:cs="Times New Roman"/>
          <w:color w:val="000000"/>
        </w:rPr>
        <w:t xml:space="preserve">ний не поступало.</w:t>
      </w:r>
      <w:r/>
      <w:r/>
    </w:p>
    <w:p w14:paraId="52E91B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9" w:left="0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 w14:paraId="14F7DB3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9" w:left="0"/>
        <w:jc w:val="both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134" w:header="510" w:footer="0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Lucida Sans">
    <w:panose1 w:val="020B060204050402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25ACCD0">
    <w:pPr>
      <w:pStyle w:val="91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 w14:paraId="3F576101">
    <w:pPr>
      <w:pStyle w:val="917"/>
      <w:pBdr/>
      <w:spacing/>
      <w:ind/>
      <w:rPr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toc 1"/>
    <w:basedOn w:val="894"/>
    <w:next w:val="894"/>
    <w:uiPriority w:val="39"/>
    <w:unhideWhenUsed/>
    <w:pPr>
      <w:pBdr/>
      <w:spacing w:after="100"/>
      <w:ind/>
    </w:pPr>
  </w:style>
  <w:style w:type="paragraph" w:styleId="718">
    <w:name w:val="toc 2"/>
    <w:basedOn w:val="894"/>
    <w:next w:val="894"/>
    <w:uiPriority w:val="39"/>
    <w:unhideWhenUsed/>
    <w:pPr>
      <w:pBdr/>
      <w:spacing w:after="100"/>
      <w:ind w:left="220"/>
    </w:pPr>
  </w:style>
  <w:style w:type="paragraph" w:styleId="719">
    <w:name w:val="toc 3"/>
    <w:basedOn w:val="894"/>
    <w:next w:val="894"/>
    <w:uiPriority w:val="39"/>
    <w:unhideWhenUsed/>
    <w:pPr>
      <w:pBdr/>
      <w:spacing w:after="100"/>
      <w:ind w:left="440"/>
    </w:pPr>
  </w:style>
  <w:style w:type="paragraph" w:styleId="720">
    <w:name w:val="toc 4"/>
    <w:basedOn w:val="894"/>
    <w:next w:val="894"/>
    <w:uiPriority w:val="39"/>
    <w:unhideWhenUsed/>
    <w:pPr>
      <w:pBdr/>
      <w:spacing w:after="100"/>
      <w:ind w:left="660"/>
    </w:pPr>
  </w:style>
  <w:style w:type="paragraph" w:styleId="721">
    <w:name w:val="toc 5"/>
    <w:basedOn w:val="894"/>
    <w:next w:val="894"/>
    <w:uiPriority w:val="39"/>
    <w:unhideWhenUsed/>
    <w:pPr>
      <w:pBdr/>
      <w:spacing w:after="100"/>
      <w:ind w:left="880"/>
    </w:pPr>
  </w:style>
  <w:style w:type="paragraph" w:styleId="722">
    <w:name w:val="toc 6"/>
    <w:basedOn w:val="894"/>
    <w:next w:val="894"/>
    <w:uiPriority w:val="39"/>
    <w:unhideWhenUsed/>
    <w:pPr>
      <w:pBdr/>
      <w:spacing w:after="100"/>
      <w:ind w:left="1100"/>
    </w:pPr>
  </w:style>
  <w:style w:type="paragraph" w:styleId="723">
    <w:name w:val="toc 7"/>
    <w:basedOn w:val="894"/>
    <w:next w:val="894"/>
    <w:uiPriority w:val="39"/>
    <w:unhideWhenUsed/>
    <w:pPr>
      <w:pBdr/>
      <w:spacing w:after="100"/>
      <w:ind w:left="1320"/>
    </w:pPr>
  </w:style>
  <w:style w:type="paragraph" w:styleId="724">
    <w:name w:val="toc 8"/>
    <w:basedOn w:val="894"/>
    <w:next w:val="894"/>
    <w:uiPriority w:val="39"/>
    <w:unhideWhenUsed/>
    <w:pPr>
      <w:pBdr/>
      <w:spacing w:after="100"/>
      <w:ind w:left="1540"/>
    </w:pPr>
  </w:style>
  <w:style w:type="paragraph" w:styleId="725">
    <w:name w:val="toc 9"/>
    <w:basedOn w:val="894"/>
    <w:next w:val="894"/>
    <w:uiPriority w:val="39"/>
    <w:unhideWhenUsed/>
    <w:pPr>
      <w:pBdr/>
      <w:spacing w:after="100"/>
      <w:ind w:left="1760"/>
    </w:pPr>
  </w:style>
  <w:style w:type="table" w:styleId="726">
    <w:name w:val="Table Grid Light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Heading 1"/>
    <w:basedOn w:val="894"/>
    <w:next w:val="894"/>
    <w:link w:val="86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2">
    <w:name w:val="Heading 2"/>
    <w:basedOn w:val="894"/>
    <w:next w:val="894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3">
    <w:name w:val="Heading 3"/>
    <w:basedOn w:val="894"/>
    <w:next w:val="894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4">
    <w:name w:val="Heading 4"/>
    <w:basedOn w:val="894"/>
    <w:next w:val="894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5">
    <w:name w:val="Heading 5"/>
    <w:basedOn w:val="894"/>
    <w:next w:val="894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6">
    <w:name w:val="Heading 6"/>
    <w:basedOn w:val="894"/>
    <w:next w:val="894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7">
    <w:name w:val="Heading 7"/>
    <w:basedOn w:val="894"/>
    <w:next w:val="894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8">
    <w:name w:val="Heading 8"/>
    <w:basedOn w:val="894"/>
    <w:next w:val="894"/>
    <w:link w:val="86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Heading 9"/>
    <w:basedOn w:val="894"/>
    <w:next w:val="894"/>
    <w:link w:val="86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1 Char"/>
    <w:basedOn w:val="895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1">
    <w:name w:val="Heading 2 Char"/>
    <w:basedOn w:val="895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2">
    <w:name w:val="Heading 3 Char"/>
    <w:basedOn w:val="895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3">
    <w:name w:val="Heading 4 Char"/>
    <w:basedOn w:val="895"/>
    <w:link w:val="8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4">
    <w:name w:val="Heading 5 Char"/>
    <w:basedOn w:val="895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5">
    <w:name w:val="Heading 6 Char"/>
    <w:basedOn w:val="895"/>
    <w:link w:val="8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6">
    <w:name w:val="Heading 7 Char"/>
    <w:basedOn w:val="895"/>
    <w:link w:val="8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7">
    <w:name w:val="Heading 8 Char"/>
    <w:basedOn w:val="895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8">
    <w:name w:val="Heading 9 Char"/>
    <w:basedOn w:val="895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Title Char"/>
    <w:basedOn w:val="895"/>
    <w:link w:val="9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0">
    <w:name w:val="Subtitle"/>
    <w:basedOn w:val="894"/>
    <w:next w:val="894"/>
    <w:link w:val="87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1">
    <w:name w:val="Subtitle Char"/>
    <w:basedOn w:val="895"/>
    <w:link w:val="8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2">
    <w:name w:val="Quote"/>
    <w:basedOn w:val="894"/>
    <w:next w:val="894"/>
    <w:link w:val="8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3">
    <w:name w:val="Quote Char"/>
    <w:basedOn w:val="895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Intense Emphasis"/>
    <w:basedOn w:val="8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5">
    <w:name w:val="Intense Quote"/>
    <w:basedOn w:val="894"/>
    <w:next w:val="894"/>
    <w:link w:val="87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6">
    <w:name w:val="Intense Quote Char"/>
    <w:basedOn w:val="895"/>
    <w:link w:val="87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7">
    <w:name w:val="Intense Reference"/>
    <w:basedOn w:val="8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8">
    <w:name w:val="No Spacing"/>
    <w:basedOn w:val="894"/>
    <w:uiPriority w:val="1"/>
    <w:qFormat/>
    <w:pPr>
      <w:pBdr/>
      <w:spacing w:after="0" w:line="240" w:lineRule="auto"/>
      <w:ind/>
    </w:pPr>
  </w:style>
  <w:style w:type="character" w:styleId="879">
    <w:name w:val="Subtle Emphasis"/>
    <w:basedOn w:val="8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Emphasis"/>
    <w:basedOn w:val="895"/>
    <w:uiPriority w:val="20"/>
    <w:qFormat/>
    <w:pPr>
      <w:pBdr/>
      <w:spacing/>
      <w:ind/>
    </w:pPr>
    <w:rPr>
      <w:i/>
      <w:iCs/>
    </w:rPr>
  </w:style>
  <w:style w:type="character" w:styleId="881">
    <w:name w:val="Strong"/>
    <w:basedOn w:val="895"/>
    <w:uiPriority w:val="22"/>
    <w:qFormat/>
    <w:pPr>
      <w:pBdr/>
      <w:spacing/>
      <w:ind/>
    </w:pPr>
    <w:rPr>
      <w:b/>
      <w:bCs/>
    </w:rPr>
  </w:style>
  <w:style w:type="character" w:styleId="882">
    <w:name w:val="Subtle Reference"/>
    <w:basedOn w:val="8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3">
    <w:name w:val="Book Title"/>
    <w:basedOn w:val="8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4">
    <w:name w:val="Header Char"/>
    <w:basedOn w:val="895"/>
    <w:link w:val="917"/>
    <w:uiPriority w:val="99"/>
    <w:pPr>
      <w:pBdr/>
      <w:spacing/>
      <w:ind/>
    </w:pPr>
  </w:style>
  <w:style w:type="character" w:styleId="885">
    <w:name w:val="Footer Char"/>
    <w:basedOn w:val="895"/>
    <w:link w:val="918"/>
    <w:uiPriority w:val="99"/>
    <w:pPr>
      <w:pBdr/>
      <w:spacing/>
      <w:ind/>
    </w:pPr>
  </w:style>
  <w:style w:type="paragraph" w:styleId="886">
    <w:name w:val="footnote text"/>
    <w:basedOn w:val="894"/>
    <w:link w:val="8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7">
    <w:name w:val="Footnote Text Char"/>
    <w:basedOn w:val="895"/>
    <w:link w:val="886"/>
    <w:uiPriority w:val="99"/>
    <w:semiHidden/>
    <w:pPr>
      <w:pBdr/>
      <w:spacing/>
      <w:ind/>
    </w:pPr>
    <w:rPr>
      <w:sz w:val="20"/>
      <w:szCs w:val="20"/>
    </w:rPr>
  </w:style>
  <w:style w:type="character" w:styleId="888">
    <w:name w:val="foot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894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>
    <w:name w:val="Endnote Text Char"/>
    <w:basedOn w:val="895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end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paragraph" w:styleId="894" w:default="1">
    <w:name w:val="Normal"/>
    <w:qFormat/>
    <w:pPr>
      <w:widowControl w:val="true"/>
      <w:pBdr/>
      <w:bidi w:val="false"/>
      <w:spacing w:after="0" w:before="0" w:line="276" w:lineRule="auto"/>
      <w:ind/>
      <w:jc w:val="both"/>
    </w:pPr>
    <w:rPr>
      <w:rFonts w:ascii="Times New Roman" w:hAnsi="Times New Roman" w:eastAsia="Calibri" w:cs="Times New Roman"/>
      <w:color w:val="auto"/>
      <w:sz w:val="28"/>
      <w:szCs w:val="22"/>
      <w:lang w:val="ru-RU" w:eastAsia="en-US" w:bidi="ar-SA"/>
    </w:rPr>
  </w:style>
  <w:style w:type="character" w:styleId="89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96" w:customStyle="1">
    <w:name w:val="Заголовок Знак"/>
    <w:qFormat/>
    <w:pPr>
      <w:pBdr/>
      <w:spacing/>
      <w:ind/>
    </w:pPr>
    <w:rPr>
      <w:rFonts w:eastAsia="Times New Roman"/>
      <w:b/>
      <w:sz w:val="32"/>
      <w:szCs w:val="20"/>
      <w:lang w:eastAsia="ru-RU"/>
    </w:rPr>
  </w:style>
  <w:style w:type="character" w:styleId="897" w:customStyle="1">
    <w:name w:val="Верхний колонтитул Знак"/>
    <w:basedOn w:val="895"/>
    <w:uiPriority w:val="99"/>
    <w:qFormat/>
    <w:pPr>
      <w:pBdr/>
      <w:spacing/>
      <w:ind/>
    </w:pPr>
  </w:style>
  <w:style w:type="character" w:styleId="898" w:customStyle="1">
    <w:name w:val="Нижний колонтитул Знак"/>
    <w:basedOn w:val="895"/>
    <w:uiPriority w:val="99"/>
    <w:qFormat/>
    <w:pPr>
      <w:pBdr/>
      <w:spacing/>
      <w:ind/>
    </w:pPr>
  </w:style>
  <w:style w:type="character" w:styleId="899" w:customStyle="1">
    <w:name w:val="Текст выноски Знак"/>
    <w:link w:val="919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00">
    <w:name w:val="Hyperlink"/>
    <w:uiPriority w:val="99"/>
    <w:semiHidden/>
    <w:unhideWhenUsed/>
    <w:pPr>
      <w:pBdr/>
      <w:spacing/>
      <w:ind/>
    </w:pPr>
    <w:rPr>
      <w:color w:val="0563c1"/>
      <w:u w:val="single"/>
    </w:rPr>
  </w:style>
  <w:style w:type="character" w:styleId="901">
    <w:name w:val="FollowedHyperlink"/>
    <w:uiPriority w:val="99"/>
    <w:semiHidden/>
    <w:unhideWhenUsed/>
    <w:pPr>
      <w:pBdr/>
      <w:spacing/>
      <w:ind/>
    </w:pPr>
    <w:rPr>
      <w:color w:val="954f72"/>
      <w:u w:val="single"/>
    </w:rPr>
  </w:style>
  <w:style w:type="character" w:styleId="902">
    <w:name w:val="annotation reference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903" w:customStyle="1">
    <w:name w:val="Текст примечания Знак"/>
    <w:link w:val="939"/>
    <w:uiPriority w:val="99"/>
    <w:semiHidden/>
    <w:qFormat/>
    <w:pPr>
      <w:pBdr/>
      <w:spacing/>
      <w:ind/>
    </w:pPr>
    <w:rPr>
      <w:sz w:val="20"/>
      <w:szCs w:val="20"/>
    </w:rPr>
  </w:style>
  <w:style w:type="character" w:styleId="904" w:customStyle="1">
    <w:name w:val="Тема примечания Знак"/>
    <w:link w:val="940"/>
    <w:uiPriority w:val="99"/>
    <w:semiHidden/>
    <w:qFormat/>
    <w:pPr>
      <w:pBdr/>
      <w:spacing/>
      <w:ind/>
    </w:pPr>
    <w:rPr>
      <w:b/>
      <w:bCs/>
      <w:sz w:val="20"/>
      <w:szCs w:val="20"/>
    </w:rPr>
  </w:style>
  <w:style w:type="character" w:styleId="905">
    <w:name w:val="Placeholder Text"/>
    <w:uiPriority w:val="99"/>
    <w:semiHidden/>
    <w:qFormat/>
    <w:pPr>
      <w:pBdr/>
      <w:spacing/>
      <w:ind/>
    </w:pPr>
    <w:rPr>
      <w:color w:val="808080"/>
    </w:rPr>
  </w:style>
  <w:style w:type="paragraph" w:styleId="906">
    <w:name w:val="Заголовок"/>
    <w:basedOn w:val="894"/>
    <w:next w:val="907"/>
    <w:qFormat/>
    <w:pPr>
      <w:keepNext w:val="true"/>
      <w:pBdr/>
      <w:spacing w:after="120" w:before="240"/>
      <w:ind/>
    </w:pPr>
    <w:rPr>
      <w:rFonts w:ascii="PT Astra Serif" w:hAnsi="PT Astra Serif" w:eastAsia="Microsoft YaHei" w:cs="Lucida Sans"/>
      <w:sz w:val="28"/>
      <w:szCs w:val="28"/>
    </w:rPr>
  </w:style>
  <w:style w:type="paragraph" w:styleId="907">
    <w:name w:val="Body Text"/>
    <w:basedOn w:val="894"/>
    <w:pPr>
      <w:pBdr/>
      <w:spacing w:after="140" w:before="0"/>
      <w:ind/>
    </w:pPr>
  </w:style>
  <w:style w:type="paragraph" w:styleId="908">
    <w:name w:val="List"/>
    <w:basedOn w:val="907"/>
    <w:pPr>
      <w:pBdr/>
      <w:spacing/>
      <w:ind/>
    </w:pPr>
    <w:rPr>
      <w:rFonts w:ascii="PT Astra Serif" w:hAnsi="PT Astra Serif" w:cs="Noto Sans Devanagari"/>
    </w:rPr>
  </w:style>
  <w:style w:type="paragraph" w:styleId="909">
    <w:name w:val="Caption"/>
    <w:basedOn w:val="894"/>
    <w:qFormat/>
    <w:pPr>
      <w:suppressLineNumbers w:val="true"/>
      <w:pBdr/>
      <w:spacing w:after="120" w:before="120"/>
      <w:ind/>
    </w:pPr>
    <w:rPr>
      <w:rFonts w:ascii="PT Astra Serif" w:hAnsi="PT Astra Serif" w:cs="Lucida Sans"/>
      <w:i/>
      <w:iCs/>
      <w:sz w:val="24"/>
      <w:szCs w:val="24"/>
    </w:rPr>
  </w:style>
  <w:style w:type="paragraph" w:styleId="910">
    <w:name w:val="Указатель"/>
    <w:basedOn w:val="894"/>
    <w:qFormat/>
    <w:pPr>
      <w:suppressLineNumbers w:val="true"/>
      <w:pBdr/>
      <w:spacing/>
      <w:ind/>
    </w:pPr>
    <w:rPr>
      <w:rFonts w:ascii="PT Astra Serif" w:hAnsi="PT Astra Serif" w:cs="Lucida Sans"/>
    </w:rPr>
  </w:style>
  <w:style w:type="paragraph" w:styleId="911">
    <w:name w:val="Title"/>
    <w:basedOn w:val="894"/>
    <w:next w:val="907"/>
    <w:link w:val="896"/>
    <w:qFormat/>
    <w:pPr>
      <w:widowControl w:val="false"/>
      <w:pBdr/>
      <w:spacing w:line="320" w:lineRule="exact"/>
      <w:ind w:right="220" w:firstLine="0"/>
      <w:jc w:val="center"/>
    </w:pPr>
    <w:rPr>
      <w:rFonts w:eastAsia="Times New Roman"/>
      <w:b/>
      <w:sz w:val="32"/>
      <w:szCs w:val="20"/>
      <w:lang w:eastAsia="ru-RU"/>
    </w:rPr>
  </w:style>
  <w:style w:type="paragraph" w:styleId="912">
    <w:name w:val="Caption"/>
    <w:basedOn w:val="894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913">
    <w:name w:val="index heading"/>
    <w:basedOn w:val="894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914">
    <w:name w:val="List Paragraph"/>
    <w:basedOn w:val="894"/>
    <w:uiPriority w:val="34"/>
    <w:qFormat/>
    <w:pPr>
      <w:pBdr/>
      <w:spacing w:after="0" w:before="0"/>
      <w:ind w:firstLine="0" w:left="720"/>
      <w:contextualSpacing w:val="true"/>
    </w:pPr>
  </w:style>
  <w:style w:type="paragraph" w:styleId="915" w:customStyle="1">
    <w:name w:val="ConsPlusNormal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paragraph" w:styleId="916" w:customStyle="1">
    <w:name w:val="Колонтитул"/>
    <w:basedOn w:val="894"/>
    <w:qFormat/>
    <w:pPr>
      <w:pBdr/>
      <w:spacing/>
      <w:ind/>
    </w:pPr>
  </w:style>
  <w:style w:type="paragraph" w:styleId="917">
    <w:name w:val="Header"/>
    <w:basedOn w:val="894"/>
    <w:link w:val="897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line="240" w:lineRule="auto"/>
      <w:ind/>
    </w:pPr>
  </w:style>
  <w:style w:type="paragraph" w:styleId="918">
    <w:name w:val="Footer"/>
    <w:basedOn w:val="894"/>
    <w:link w:val="898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line="240" w:lineRule="auto"/>
      <w:ind/>
    </w:pPr>
  </w:style>
  <w:style w:type="paragraph" w:styleId="919">
    <w:name w:val="Balloon Text"/>
    <w:basedOn w:val="894"/>
    <w:link w:val="899"/>
    <w:uiPriority w:val="99"/>
    <w:semiHidden/>
    <w:unhideWhenUsed/>
    <w:qFormat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paragraph" w:styleId="920" w:customStyle="1">
    <w:name w:val="xl63"/>
    <w:basedOn w:val="894"/>
    <w:qFormat/>
    <w:pPr>
      <w:pBdr/>
      <w:spacing w:afterAutospacing="1" w:beforeAutospacing="1" w:line="240" w:lineRule="auto"/>
      <w:ind/>
      <w:jc w:val="left"/>
    </w:pPr>
    <w:rPr>
      <w:rFonts w:eastAsia="Times New Roman"/>
      <w:b/>
      <w:bCs/>
      <w:szCs w:val="28"/>
      <w:lang w:eastAsia="ru-RU"/>
    </w:rPr>
  </w:style>
  <w:style w:type="paragraph" w:styleId="921" w:customStyle="1">
    <w:name w:val="xl64"/>
    <w:basedOn w:val="894"/>
    <w:qFormat/>
    <w:pPr>
      <w:pBdr/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22" w:customStyle="1">
    <w:name w:val="xl65"/>
    <w:basedOn w:val="894"/>
    <w:qFormat/>
    <w:pPr>
      <w:pBdr/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23" w:customStyle="1">
    <w:name w:val="xl66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4" w:customStyle="1">
    <w:name w:val="xl67"/>
    <w:basedOn w:val="894"/>
    <w:qFormat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5" w:customStyle="1">
    <w:name w:val="xl68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6" w:customStyle="1">
    <w:name w:val="xl69"/>
    <w:basedOn w:val="894"/>
    <w:qFormat/>
    <w:pPr>
      <w:pBdr>
        <w:left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7" w:customStyle="1">
    <w:name w:val="xl70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8" w:customStyle="1">
    <w:name w:val="xl71"/>
    <w:basedOn w:val="894"/>
    <w:qFormat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9" w:customStyle="1">
    <w:name w:val="xl72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0" w:customStyle="1">
    <w:name w:val="xl73"/>
    <w:basedOn w:val="894"/>
    <w:qFormat/>
    <w:pPr>
      <w:pBdr>
        <w:top w:val="single" w:color="000000" w:sz="4" w:space="0"/>
        <w:bottom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1" w:customStyle="1">
    <w:name w:val="xl74"/>
    <w:basedOn w:val="894"/>
    <w:qFormat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2" w:customStyle="1">
    <w:name w:val="xl75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b/>
      <w:bCs/>
      <w:szCs w:val="28"/>
      <w:lang w:eastAsia="ru-RU"/>
    </w:rPr>
  </w:style>
  <w:style w:type="paragraph" w:styleId="933" w:customStyle="1">
    <w:name w:val="xl76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b/>
      <w:bCs/>
      <w:szCs w:val="28"/>
      <w:lang w:eastAsia="ru-RU"/>
    </w:rPr>
  </w:style>
  <w:style w:type="paragraph" w:styleId="934" w:customStyle="1">
    <w:name w:val="xl77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b/>
      <w:bCs/>
      <w:szCs w:val="28"/>
      <w:lang w:eastAsia="ru-RU"/>
    </w:rPr>
  </w:style>
  <w:style w:type="paragraph" w:styleId="935" w:customStyle="1">
    <w:name w:val="xl78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6" w:customStyle="1">
    <w:name w:val="xl79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37" w:customStyle="1">
    <w:name w:val="xl80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38" w:customStyle="1">
    <w:name w:val="Обычный (веб)1"/>
    <w:basedOn w:val="894"/>
    <w:uiPriority w:val="99"/>
    <w:semiHidden/>
    <w:unhideWhenUsed/>
    <w:qFormat/>
    <w:pPr>
      <w:pBdr/>
      <w:spacing w:afterAutospacing="1" w:beforeAutospacing="1" w:line="240" w:lineRule="auto"/>
      <w:ind/>
      <w:jc w:val="left"/>
    </w:pPr>
    <w:rPr>
      <w:rFonts w:eastAsia="Times New Roman"/>
      <w:sz w:val="24"/>
      <w:szCs w:val="24"/>
      <w:lang w:eastAsia="ru-RU"/>
    </w:rPr>
  </w:style>
  <w:style w:type="paragraph" w:styleId="939">
    <w:name w:val="annotation text"/>
    <w:basedOn w:val="894"/>
    <w:link w:val="903"/>
    <w:uiPriority w:val="99"/>
    <w:semiHidden/>
    <w:unhideWhenUsed/>
    <w:qFormat/>
    <w:pPr>
      <w:pBdr/>
      <w:spacing w:line="240" w:lineRule="auto"/>
      <w:ind/>
    </w:pPr>
    <w:rPr>
      <w:sz w:val="20"/>
      <w:szCs w:val="20"/>
    </w:rPr>
  </w:style>
  <w:style w:type="paragraph" w:styleId="940">
    <w:name w:val="annotation subject"/>
    <w:basedOn w:val="939"/>
    <w:next w:val="939"/>
    <w:link w:val="904"/>
    <w:uiPriority w:val="99"/>
    <w:semiHidden/>
    <w:unhideWhenUsed/>
    <w:qFormat/>
    <w:pPr>
      <w:pBdr/>
      <w:spacing/>
      <w:ind/>
    </w:pPr>
    <w:rPr>
      <w:b/>
      <w:bCs/>
    </w:rPr>
  </w:style>
  <w:style w:type="paragraph" w:styleId="941" w:customStyle="1">
    <w:name w:val="ConsPlusTitle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b/>
      <w:color w:val="auto"/>
      <w:sz w:val="28"/>
      <w:szCs w:val="20"/>
      <w:lang w:val="ru-RU" w:eastAsia="ru-RU" w:bidi="ar-SA"/>
    </w:rPr>
  </w:style>
  <w:style w:type="paragraph" w:styleId="942" w:customStyle="1">
    <w:name w:val="Default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styleId="943" w:customStyle="1">
    <w:name w:val="Содержимое таблицы"/>
    <w:basedOn w:val="894"/>
    <w:qFormat/>
    <w:pPr>
      <w:widowControl w:val="false"/>
      <w:suppressLineNumbers w:val="true"/>
      <w:pBdr/>
      <w:spacing/>
      <w:ind/>
    </w:pPr>
  </w:style>
  <w:style w:type="paragraph" w:styleId="944" w:customStyle="1">
    <w:name w:val="Заголовок таблицы"/>
    <w:basedOn w:val="943"/>
    <w:qFormat/>
    <w:pPr>
      <w:pBdr/>
      <w:spacing/>
      <w:ind/>
      <w:jc w:val="center"/>
    </w:pPr>
    <w:rPr>
      <w:b/>
      <w:bCs/>
    </w:rPr>
  </w:style>
  <w:style w:type="numbering" w:styleId="945" w:default="1">
    <w:name w:val="No List"/>
    <w:uiPriority w:val="99"/>
    <w:semiHidden/>
    <w:unhideWhenUsed/>
    <w:qFormat/>
    <w:pPr>
      <w:pBdr/>
      <w:spacing/>
      <w:ind/>
    </w:pPr>
  </w:style>
  <w:style w:type="table" w:styleId="946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Table Grid"/>
    <w:basedOn w:val="94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8F367B6A-D543-4261-9393-C20B5425D51C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HeadingPairs>
    <vt:vector size="0" baseType="variant"/>
  </HeadingPairs>
  <TitlesOfParts>
    <vt:vector size="0" baseType="lpstr"/>
  </TitlesOfPart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Пугачева</dc:creator>
  <dc:description/>
  <dc:language>ru-RU</dc:language>
  <cp:revision>49</cp:revision>
  <dcterms:created xsi:type="dcterms:W3CDTF">2024-08-14T07:27:00Z</dcterms:created>
  <dcterms:modified xsi:type="dcterms:W3CDTF">2026-04-16T11:56:47Z</dcterms:modified>
</cp:coreProperties>
</file>