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66"/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6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6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 МИНИСТРОВ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6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6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6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___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_______ 20</w:t>
      </w:r>
      <w:r>
        <w:rPr>
          <w:rFonts w:ascii="Times New Roman" w:hAnsi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/>
          <w:sz w:val="28"/>
          <w:szCs w:val="28"/>
          <w:highlight w:val="none"/>
        </w:rPr>
        <w:t xml:space="preserve">6</w:t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8"/>
          <w:szCs w:val="28"/>
          <w:highlight w:val="none"/>
        </w:rPr>
        <w:t xml:space="preserve">№ ___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6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021CE1EC">
      <w:pPr>
        <w:pStyle w:val="966"/>
        <w:pBdr/>
        <w:tabs>
          <w:tab w:val="left" w:leader="none" w:pos="3544"/>
        </w:tabs>
        <w:spacing w:after="0" w:line="240" w:lineRule="auto"/>
        <w:ind w:right="4961" w:firstLine="0" w:left="0"/>
        <w:jc w:val="both"/>
        <w:rPr/>
      </w:pPr>
      <w:r>
        <w:rPr>
          <w:highlight w:val="none"/>
        </w:rPr>
      </w:r>
      <w:r>
        <w:rPr>
          <w:highlight w:val="none"/>
        </w:rPr>
      </w:r>
      <w:bookmarkStart w:id="1" w:name="_Hlk170484123"/>
      <w:r>
        <w:rPr>
          <w:rFonts w:ascii="Times New Roman" w:hAnsi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sz w:val="28"/>
          <w:szCs w:val="28"/>
          <w:highlight w:val="none"/>
        </w:rPr>
        <w:t xml:space="preserve"> внесении </w:t>
      </w:r>
      <w:r>
        <w:rPr>
          <w:rFonts w:ascii="Times New Roman" w:hAnsi="Times New Roman"/>
          <w:sz w:val="28"/>
          <w:szCs w:val="28"/>
          <w:highlight w:val="none"/>
        </w:rPr>
        <w:t xml:space="preserve">изменений в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нормативные затраты на государственные работы, выполняемые отдельными государ-ственными учреждениями Республики Татарстан, на 2026 год и на плановый период 2027 и 2028 годов, утвержденные постановлением Кабинета Министров Республики Татарстан </w:t>
      </w:r>
      <w:r>
        <w:rPr>
          <w:rFonts w:ascii="Times New Roman" w:hAnsi="Times New Roman"/>
          <w:sz w:val="28"/>
          <w:szCs w:val="28"/>
          <w:highlight w:val="none"/>
        </w:rPr>
        <w:t xml:space="preserve">от 26.09.2025 № 767</w:t>
      </w:r>
      <w: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«Об утверждении нормативных затрат на государственные работы, услуги и объемов государственных услуг отдельных государственных учреждений Республики Татарстан на 2026 год и на плановый период 2027 и 2028 годов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966"/>
        <w:pBdr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highlight w:val="none"/>
        </w:rPr>
      </w:r>
      <w:bookmarkEnd w:id="1"/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6"/>
        <w:pBdr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6"/>
        <w:pBdr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1006BC7F"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Внести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нормативные затраты на государственные работы, выполняемые отдельными государственными учреждениями Республики Татарстан, на 2026 год и на плановый период 2027 и 2028 годов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, утвержденные постановлением Кабинета Министров Республики Татарстан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от 26.09.2025 № 767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«Об утверждении нормативных затрат на государственные работы, услуги и объемов государственных услуг отдельных государственных учреждений Республики Татарстан на 2026 год и на плановый период 2027 и 2028 годов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(</w:t>
      </w:r>
      <w:r>
        <w:rPr>
          <w:rFonts w:ascii="Times New Roman" w:hAnsi="Times New Roman"/>
          <w:sz w:val="28"/>
          <w:szCs w:val="28"/>
          <w:lang w:eastAsia="ru-RU"/>
        </w:rPr>
        <w:t xml:space="preserve">с изменениями, внесенными постановлениями Кабинета Министров Республики Татарстан от 16.02.2026</w:t>
      </w:r>
      <w:r>
        <w:rPr>
          <w:rFonts w:ascii="Times New Roman" w:hAnsi="Times New Roman"/>
          <w:sz w:val="28"/>
          <w:szCs w:val="28"/>
          <w:lang w:eastAsia="ru-RU"/>
        </w:rPr>
        <w:t xml:space="preserve"> № 111</w:t>
      </w:r>
      <w:r>
        <w:rPr>
          <w:rFonts w:ascii="Times New Roman" w:hAnsi="Times New Roman"/>
          <w:sz w:val="28"/>
          <w:szCs w:val="28"/>
          <w:lang w:eastAsia="ru-RU"/>
        </w:rPr>
        <w:t xml:space="preserve">, от</w:t>
      </w:r>
      <w:r>
        <w:rPr>
          <w:rFonts w:ascii="Times New Roman" w:hAnsi="Times New Roman"/>
          <w:sz w:val="28"/>
          <w:szCs w:val="28"/>
          <w:lang w:eastAsia="ru-RU"/>
        </w:rPr>
        <w:t xml:space="preserve"> 07.04.2026 </w:t>
      </w:r>
      <w:r>
        <w:rPr>
          <w:rFonts w:ascii="Times New Roman" w:hAnsi="Times New Roman"/>
          <w:sz w:val="28"/>
          <w:szCs w:val="28"/>
          <w:lang w:eastAsia="ru-RU"/>
        </w:rPr>
        <w:t xml:space="preserve">№ 364</w:t>
      </w:r>
      <w:r>
        <w:rPr>
          <w:rFonts w:ascii="Times New Roman" w:hAnsi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, следующие изме</w:t>
      </w:r>
      <w:r>
        <w:rPr>
          <w:rFonts w:ascii="Times New Roman" w:hAnsi="Times New Roman"/>
          <w:sz w:val="28"/>
          <w:szCs w:val="28"/>
          <w:highlight w:val="none"/>
        </w:rPr>
        <w:t xml:space="preserve">нения:</w:t>
      </w:r>
      <w:r>
        <w:rPr>
          <w:rFonts w:ascii="Times New Roman" w:hAnsi="Times New Roman"/>
          <w:sz w:val="28"/>
          <w:szCs w:val="28"/>
          <w:highlight w:val="none"/>
        </w:rPr>
      </w:r>
    </w:p>
    <w:p w14:paraId="0CB1F836">
      <w:pPr>
        <w:pBdr/>
        <w:spacing w:after="0" w:line="24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в графе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4 строки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«содержание (эксплуатация) имущества, находящегося в государственной (муниципальной) собственности»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пункта 2.2 цифры «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273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131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670,0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» 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заменить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цифрами «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276 611 693,7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»;</w:t>
      </w:r>
      <w:r/>
    </w:p>
    <w:p w14:paraId="133296AA"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в графе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4 строки «административное обеспечение деятельности организации (проведение мониторинга)» пункта 13.1 цифры «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58 876 851,28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» 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заменить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цифрами «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77 586 791,28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 w14:paraId="0F3C4989"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  <w14:ligatures w14:val="none"/>
        </w:rPr>
      </w:r>
    </w:p>
    <w:p w14:paraId="29960BB4"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  <w14:ligatures w14:val="none"/>
        </w:rPr>
      </w:r>
    </w:p>
    <w:p w14:paraId="7C55ABF6"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  <w14:ligatures w14:val="none"/>
        </w:rPr>
      </w:r>
    </w:p>
    <w:p>
      <w:pPr>
        <w:pStyle w:val="966"/>
        <w:pBdr/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Премьер-министр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6"/>
        <w:pBdr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Республики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                                                                                  А.В. Песошин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6"/>
        <w:pBdr/>
        <w:spacing w:after="0" w:line="288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  <w:sectPr>
          <w:headerReference w:type="default" r:id="rId9"/>
          <w:footnotePr/>
          <w:endnotePr/>
          <w:type w:val="nextPage"/>
          <w:pgSz w:h="16838" w:orient="portrait" w:w="11906"/>
          <w:pgMar w:top="1134" w:right="567" w:bottom="1134" w:left="1134" w:header="709" w:footer="130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6"/>
        <w:pBdr/>
        <w:spacing w:after="0" w:line="288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ПОЯСНИТЕЛЬНАЯ ЗАПИСКА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66"/>
        <w:pBdr/>
        <w:spacing w:after="0" w:line="288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66"/>
        <w:pBdr/>
        <w:spacing w:after="0" w:line="288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 внесении изменений в нормативные затраты на государственные работы, выполняемые отдельными государственными учреждениями Республики Татарстан, на 2026 год и на плановый период 2027 и 2028 годов, утвержденные постановлением Кабинета Министров Республики Та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тарстан от 26.09.2025</w:t>
        <w:br/>
        <w:t xml:space="preserve">№ 767 «Об утверждении нормативных затрат на государственные работы, услуги и объемов государственных услуг отдельных государственных учреждений Республики Татарстан на 2026 год и на плановый период 2027 и 2028 годов»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66"/>
        <w:pBdr/>
        <w:spacing w:after="0" w:line="288" w:lineRule="auto"/>
        <w:ind w:firstLine="708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 постановления Кабинета Министров Республики Татарстан «</w:t>
      </w:r>
      <w:r>
        <w:rPr>
          <w:rFonts w:ascii="Times New Roman" w:hAnsi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sz w:val="28"/>
          <w:szCs w:val="28"/>
          <w:highlight w:val="none"/>
        </w:rPr>
        <w:t xml:space="preserve"> внесении изменений в нормативные затраты на государственные работы, выполняемые отдельными государственными учреждениями Республики Татарстан, на 2026 год и на плановый период 2027 и 2028 годов, утвержденные постановлением Кабинета Министров Республики Та</w:t>
      </w:r>
      <w:r>
        <w:rPr>
          <w:rFonts w:ascii="Times New Roman" w:hAnsi="Times New Roman"/>
          <w:sz w:val="28"/>
          <w:szCs w:val="28"/>
          <w:highlight w:val="none"/>
        </w:rPr>
        <w:t xml:space="preserve">тарстан от 26.09.2025 № 767 «Об утверждении нормативных затрат на государственные работы, услуги и объемов государственных услуг отдельных государственных учреждений Республики Татарстан на 2026 год и на плановый период 2027 и 2028 годов»</w:t>
      </w:r>
      <w:r>
        <w:rPr>
          <w:rFonts w:ascii="Times New Roman" w:hAnsi="Times New Roman"/>
          <w:sz w:val="28"/>
          <w:szCs w:val="28"/>
          <w:highlight w:val="none"/>
        </w:rPr>
        <w:t xml:space="preserve"> разработан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государственным бюджетным учреждением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«Центр экономических и социальных исследований Республики Татарстан при Кабинете Министров Республики Татарстан»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 w14:paraId="08A5AEFB">
      <w:pPr>
        <w:pBdr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- во исполнение пункта 2 распоряжения Кабинета Министров Республики Татарстан от 19.03.2026 № </w:t>
      </w:r>
      <w:r>
        <w:rPr>
          <w:rFonts w:ascii="Times New Roman" w:hAnsi="Times New Roman"/>
          <w:sz w:val="28"/>
          <w:szCs w:val="28"/>
          <w:highlight w:val="none"/>
        </w:rPr>
        <w:t xml:space="preserve">452</w:t>
      </w:r>
      <w:r>
        <w:rPr>
          <w:rFonts w:ascii="Times New Roman" w:hAnsi="Times New Roman"/>
          <w:sz w:val="28"/>
          <w:szCs w:val="28"/>
          <w:highlight w:val="none"/>
        </w:rPr>
        <w:t xml:space="preserve">-р о предоставлении субсидии государственному бюджетному учреждению «Научно-производственное объединение по геологии и использованию недр Республики Татарстан»</w:t>
      </w:r>
      <w:r>
        <w:rPr>
          <w:rFonts w:ascii="Times New Roman" w:hAnsi="Times New Roman"/>
          <w:sz w:val="28"/>
          <w:szCs w:val="28"/>
          <w:highlight w:val="none"/>
        </w:rPr>
        <w:t xml:space="preserve"> (далее – ГБУ «НПО Геоцентр РТ») на увеличе</w:t>
      </w:r>
      <w:r>
        <w:rPr>
          <w:rFonts w:ascii="Times New Roman" w:hAnsi="Times New Roman"/>
          <w:sz w:val="28"/>
          <w:szCs w:val="28"/>
          <w:highlight w:val="none"/>
        </w:rPr>
        <w:t xml:space="preserve">ние объема финансового обеспечения выполнения государственного задания в части обслуживания эколого-аналитического оборудования, установленного на автоматических станциях контроля загрязнения атмосферного воздуха и в передвижных экологических лабораториях;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 w14:paraId="4131EF3E">
      <w:pPr>
        <w:pBdr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- в</w:t>
      </w:r>
      <w:r>
        <w:rPr>
          <w:rFonts w:ascii="Times New Roman" w:hAnsi="Times New Roman"/>
          <w:sz w:val="28"/>
          <w:szCs w:val="28"/>
          <w:highlight w:val="none"/>
        </w:rPr>
        <w:t xml:space="preserve">о исполнение пункта 2 распоряжения Кабинета Министров Республики Татарстан от 25.04.2026 № 802-р о предоставлении субсидии государственному бюджетному учреждению» </w:t>
      </w:r>
      <w:r>
        <w:rPr>
          <w:rFonts w:ascii="Times New Roman" w:hAnsi="Times New Roman"/>
          <w:sz w:val="28"/>
          <w:szCs w:val="28"/>
          <w:highlight w:val="none"/>
        </w:rPr>
        <w:t xml:space="preserve">«Хозяйственное управление при Кабинете Министров Республики Татарстан» </w:t>
      </w:r>
      <w:r>
        <w:rPr>
          <w:rFonts w:ascii="Times New Roman" w:hAnsi="Times New Roman"/>
          <w:sz w:val="28"/>
          <w:szCs w:val="28"/>
          <w:highlight w:val="none"/>
        </w:rPr>
        <w:t xml:space="preserve">(далее – ГБУ «ХОЗУ РТ») на увеличение объема финансового обеспечения выполнения государственног</w:t>
      </w:r>
      <w:r>
        <w:rPr>
          <w:rFonts w:ascii="Times New Roman" w:hAnsi="Times New Roman"/>
          <w:sz w:val="28"/>
          <w:szCs w:val="28"/>
          <w:highlight w:val="none"/>
        </w:rPr>
        <w:t xml:space="preserve">о задания для оплаты расходов по техническому обслуживанию инженерных систем и установленного оборудования гостевого дома Кабинета Министров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Проектом постановления Кабинета Министров Республики Татарстан вносятся изменения в части</w:t>
      </w:r>
      <w:r>
        <w:rPr>
          <w:rFonts w:ascii="Times New Roman" w:hAnsi="Times New Roman"/>
          <w:sz w:val="28"/>
          <w:szCs w:val="28"/>
          <w:highlight w:val="none"/>
        </w:rPr>
        <w:t xml:space="preserve"> корректировки нормативных затрат на государственные работы, выполняемые </w:t>
      </w:r>
      <w:r>
        <w:rPr>
          <w:rFonts w:ascii="Times New Roman" w:hAnsi="Times New Roman"/>
          <w:sz w:val="28"/>
          <w:szCs w:val="28"/>
          <w:highlight w:val="none"/>
        </w:rPr>
        <w:t xml:space="preserve">ГБУ «НПО Геоцентр РТ», </w:t>
      </w:r>
      <w:r>
        <w:rPr>
          <w:rFonts w:ascii="Times New Roman" w:hAnsi="Times New Roman"/>
          <w:sz w:val="28"/>
          <w:szCs w:val="28"/>
          <w:highlight w:val="none"/>
        </w:rPr>
        <w:t xml:space="preserve">ГБУ «ХОЗУ РТ»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Принятие данного проекта постановления не потребует выделения дополнительных средств из бюджета Республики Татарстан.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 w:cs="Arial"/>
          <w:sz w:val="28"/>
          <w:szCs w:val="28"/>
          <w:highlight w:val="none"/>
        </w:rPr>
        <w:t xml:space="preserve">Необходимость</w:t>
      </w:r>
      <w:r>
        <w:rPr>
          <w:rFonts w:ascii="Times New Roman" w:hAnsi="Times New Roman" w:cs="Arial"/>
          <w:sz w:val="28"/>
          <w:szCs w:val="28"/>
          <w:highlight w:val="none"/>
        </w:rPr>
        <w:t xml:space="preserve"> в проведении оценки регулирующего воздействия</w:t>
      </w:r>
      <w:r>
        <w:rPr>
          <w:rFonts w:ascii="Times New Roman" w:hAnsi="Times New Roman" w:cs="Arial"/>
          <w:sz w:val="28"/>
          <w:szCs w:val="28"/>
          <w:highlight w:val="none"/>
        </w:rPr>
        <w:t xml:space="preserve"> проекта постановления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Кабинета Министров Республики Татарстан</w:t>
      </w:r>
      <w:r>
        <w:rPr>
          <w:rFonts w:ascii="Times New Roman" w:hAnsi="Times New Roman" w:cs="Arial"/>
          <w:sz w:val="28"/>
          <w:szCs w:val="28"/>
          <w:highlight w:val="none"/>
        </w:rPr>
        <w:t xml:space="preserve"> отсутствует</w:t>
      </w:r>
      <w:r>
        <w:rPr>
          <w:rFonts w:ascii="Times New Roman" w:hAnsi="Times New Roman" w:cs="Arial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По итогам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независимой антикоррупционной экспертизы</w:t>
      </w:r>
      <w:r>
        <w:rPr>
          <w:rFonts w:ascii="Times New Roman" w:hAnsi="Times New Roman"/>
          <w:sz w:val="28"/>
          <w:szCs w:val="28"/>
          <w:highlight w:val="none"/>
        </w:rPr>
        <w:t xml:space="preserve"> проекта </w:t>
      </w:r>
      <w:r>
        <w:rPr>
          <w:rFonts w:ascii="Times New Roman" w:hAnsi="Times New Roman"/>
          <w:sz w:val="28"/>
          <w:szCs w:val="28"/>
          <w:highlight w:val="none"/>
        </w:rPr>
        <w:t xml:space="preserve">постановления </w:t>
      </w:r>
      <w:r>
        <w:rPr>
          <w:rFonts w:ascii="Times New Roman" w:hAnsi="Times New Roman"/>
          <w:sz w:val="28"/>
          <w:szCs w:val="28"/>
          <w:highlight w:val="none"/>
        </w:rPr>
        <w:t xml:space="preserve">Кабинета Министров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заключений не поступало.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sectPr>
      <w:headerReference w:type="default" r:id="rId10"/>
      <w:footnotePr/>
      <w:endnotePr/>
      <w:type w:val="nextPage"/>
      <w:pgSz w:h="16838" w:orient="portrait" w:w="11906"/>
      <w:pgMar w:top="1134" w:right="567" w:bottom="1134" w:left="1134" w:header="709" w:footer="13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7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73"/>
      <w:pBdr/>
      <w:spacing/>
      <w:ind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4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0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52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8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360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432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468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540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1">
    <w:lvl w:ilvl="0">
      <w:isLgl w:val="false"/>
      <w:lvlJc w:val="left"/>
      <w:lvlText w:val="%1"/>
      <w:numFmt w:val="decimal"/>
      <w:pPr>
        <w:pBdr/>
        <w:spacing/>
        <w:ind w:hanging="360" w:left="1211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6">
    <w:nsid w:val="6B15D60C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nsid w:val="39CA5CFF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nsid w:val="369CA123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nsid w:val="47832891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0"/>
  </w:num>
  <w:num w:numId="7">
    <w:abstractNumId w:val="7"/>
  </w:num>
  <w:num w:numId="8">
    <w:abstractNumId w:val="13"/>
  </w:num>
  <w:num w:numId="9">
    <w:abstractNumId w:val="11"/>
  </w:num>
  <w:num w:numId="10">
    <w:abstractNumId w:val="12"/>
  </w:num>
  <w:num w:numId="11">
    <w:abstractNumId w:val="14"/>
  </w:num>
  <w:num w:numId="12">
    <w:abstractNumId w:val="2"/>
  </w:num>
  <w:num w:numId="13">
    <w:abstractNumId w:val="0"/>
  </w:num>
  <w:num w:numId="14">
    <w:abstractNumId w:val="15"/>
  </w:num>
  <w:num w:numId="15">
    <w:abstractNumId w:val="8"/>
  </w:num>
  <w:num w:numId="16">
    <w:abstractNumId w:val="1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7">
    <w:name w:val="Placeholder Text"/>
    <w:basedOn w:val="914"/>
    <w:uiPriority w:val="99"/>
    <w:semiHidden/>
    <w:pPr>
      <w:pBdr/>
      <w:spacing/>
      <w:ind/>
    </w:pPr>
    <w:rPr>
      <w:color w:val="666666"/>
    </w:rPr>
  </w:style>
  <w:style w:type="table" w:styleId="77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Table Grid"/>
    <w:basedOn w:val="7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Table Grid Light"/>
    <w:basedOn w:val="7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1"/>
    <w:basedOn w:val="7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2"/>
    <w:basedOn w:val="7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1 Light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2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3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1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 - Accent 2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 - Accent 3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 - Accent 4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 - Accent 5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4 - Accent 6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5 Dark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5 Dark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6 Colorful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6 Colorful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7 Colorful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1 Light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1 Light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2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3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3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4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4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4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5 Dark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6 Colorful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7 Colorful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1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 2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 3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ned - Accent 4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ned - Accent 5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ned - Accent 6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1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2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3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4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 5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&amp; Lined - Accent 6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5">
    <w:name w:val="Heading 1"/>
    <w:basedOn w:val="966"/>
    <w:next w:val="966"/>
    <w:link w:val="91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06">
    <w:name w:val="Heading 2"/>
    <w:basedOn w:val="966"/>
    <w:next w:val="966"/>
    <w:link w:val="91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07">
    <w:name w:val="Heading 3"/>
    <w:basedOn w:val="966"/>
    <w:next w:val="966"/>
    <w:link w:val="91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08">
    <w:name w:val="Heading 4"/>
    <w:basedOn w:val="966"/>
    <w:next w:val="966"/>
    <w:link w:val="91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09">
    <w:name w:val="Heading 5"/>
    <w:basedOn w:val="966"/>
    <w:next w:val="966"/>
    <w:link w:val="92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10">
    <w:name w:val="Heading 6"/>
    <w:basedOn w:val="966"/>
    <w:next w:val="966"/>
    <w:link w:val="92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11">
    <w:name w:val="Heading 7"/>
    <w:basedOn w:val="966"/>
    <w:next w:val="966"/>
    <w:link w:val="92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12">
    <w:name w:val="Heading 8"/>
    <w:basedOn w:val="966"/>
    <w:next w:val="966"/>
    <w:link w:val="92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13">
    <w:name w:val="Heading 9"/>
    <w:basedOn w:val="966"/>
    <w:next w:val="966"/>
    <w:link w:val="92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14" w:default="1">
    <w:name w:val="Default Paragraph Font"/>
    <w:uiPriority w:val="1"/>
    <w:semiHidden/>
    <w:unhideWhenUsed/>
    <w:pPr>
      <w:pBdr/>
      <w:spacing/>
      <w:ind/>
    </w:p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>
    <w:name w:val="Heading 1 Char"/>
    <w:basedOn w:val="914"/>
    <w:link w:val="9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17">
    <w:name w:val="Heading 2 Char"/>
    <w:basedOn w:val="914"/>
    <w:link w:val="90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18">
    <w:name w:val="Heading 3 Char"/>
    <w:basedOn w:val="914"/>
    <w:link w:val="90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19">
    <w:name w:val="Heading 4 Char"/>
    <w:basedOn w:val="914"/>
    <w:link w:val="90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0">
    <w:name w:val="Heading 5 Char"/>
    <w:basedOn w:val="914"/>
    <w:link w:val="90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1">
    <w:name w:val="Heading 6 Char"/>
    <w:basedOn w:val="914"/>
    <w:link w:val="91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2">
    <w:name w:val="Heading 7 Char"/>
    <w:basedOn w:val="914"/>
    <w:link w:val="91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23">
    <w:name w:val="Heading 8 Char"/>
    <w:basedOn w:val="914"/>
    <w:link w:val="91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9 Char"/>
    <w:basedOn w:val="914"/>
    <w:link w:val="91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25">
    <w:name w:val="Title"/>
    <w:basedOn w:val="966"/>
    <w:next w:val="966"/>
    <w:link w:val="92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26">
    <w:name w:val="Title Char"/>
    <w:basedOn w:val="914"/>
    <w:link w:val="92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27">
    <w:name w:val="Subtitle"/>
    <w:basedOn w:val="966"/>
    <w:next w:val="966"/>
    <w:link w:val="92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8">
    <w:name w:val="Subtitle Char"/>
    <w:basedOn w:val="914"/>
    <w:link w:val="92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9">
    <w:name w:val="Quote"/>
    <w:basedOn w:val="966"/>
    <w:next w:val="966"/>
    <w:link w:val="93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0">
    <w:name w:val="Quote Char"/>
    <w:basedOn w:val="914"/>
    <w:link w:val="92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1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2">
    <w:name w:val="Intense Emphasis"/>
    <w:basedOn w:val="91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3">
    <w:name w:val="Intense Quote"/>
    <w:basedOn w:val="966"/>
    <w:next w:val="966"/>
    <w:link w:val="93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4">
    <w:name w:val="Intense Quote Char"/>
    <w:basedOn w:val="914"/>
    <w:link w:val="93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5">
    <w:name w:val="Intense Reference"/>
    <w:basedOn w:val="91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6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7">
    <w:name w:val="Subtle Emphasis"/>
    <w:basedOn w:val="91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8">
    <w:name w:val="Emphasis"/>
    <w:basedOn w:val="914"/>
    <w:uiPriority w:val="20"/>
    <w:qFormat/>
    <w:pPr>
      <w:pBdr/>
      <w:spacing/>
      <w:ind/>
    </w:pPr>
    <w:rPr>
      <w:i/>
      <w:iCs/>
    </w:rPr>
  </w:style>
  <w:style w:type="character" w:styleId="939">
    <w:name w:val="Strong"/>
    <w:basedOn w:val="914"/>
    <w:uiPriority w:val="22"/>
    <w:qFormat/>
    <w:pPr>
      <w:pBdr/>
      <w:spacing/>
      <w:ind/>
    </w:pPr>
    <w:rPr>
      <w:b/>
      <w:bCs/>
    </w:rPr>
  </w:style>
  <w:style w:type="character" w:styleId="940">
    <w:name w:val="Subtle Reference"/>
    <w:basedOn w:val="91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1">
    <w:name w:val="Book Title"/>
    <w:basedOn w:val="91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42">
    <w:name w:val="Header"/>
    <w:basedOn w:val="966"/>
    <w:link w:val="94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43">
    <w:name w:val="Header Char"/>
    <w:basedOn w:val="914"/>
    <w:link w:val="942"/>
    <w:uiPriority w:val="99"/>
    <w:pPr>
      <w:pBdr/>
      <w:spacing/>
      <w:ind/>
    </w:pPr>
  </w:style>
  <w:style w:type="paragraph" w:styleId="944">
    <w:name w:val="Footer"/>
    <w:basedOn w:val="966"/>
    <w:link w:val="94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45">
    <w:name w:val="Footer Char"/>
    <w:basedOn w:val="914"/>
    <w:link w:val="944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14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14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14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14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Hyperlink"/>
    <w:basedOn w:val="91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54">
    <w:name w:val="FollowedHyperlink"/>
    <w:basedOn w:val="91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5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6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7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8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9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60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1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2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3">
    <w:name w:val="toc 9"/>
    <w:basedOn w:val="966"/>
    <w:next w:val="966"/>
    <w:uiPriority w:val="39"/>
    <w:unhideWhenUsed/>
    <w:pPr>
      <w:pBdr/>
      <w:spacing w:after="100"/>
      <w:ind w:left="1760"/>
    </w:p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next w:val="966"/>
    <w:link w:val="966"/>
    <w:qFormat/>
    <w:pPr>
      <w:pBdr/>
      <w:spacing w:after="200" w:line="276" w:lineRule="auto"/>
      <w:ind/>
    </w:pPr>
    <w:rPr>
      <w:sz w:val="22"/>
      <w:szCs w:val="22"/>
      <w:lang w:val="ru-RU" w:eastAsia="en-US" w:bidi="ar-SA"/>
    </w:rPr>
  </w:style>
  <w:style w:type="character" w:styleId="967">
    <w:name w:val="Основной шрифт абзаца"/>
    <w:next w:val="967"/>
    <w:link w:val="966"/>
    <w:uiPriority w:val="1"/>
    <w:unhideWhenUsed/>
    <w:pPr>
      <w:pBdr/>
      <w:spacing/>
      <w:ind/>
    </w:pPr>
  </w:style>
  <w:style w:type="table" w:styleId="968">
    <w:name w:val="Обычная таблица"/>
    <w:next w:val="968"/>
    <w:link w:val="966"/>
    <w:uiPriority w:val="99"/>
    <w:semiHidden/>
    <w:unhideWhenUsed/>
    <w:qFormat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9">
    <w:name w:val="Нет списка"/>
    <w:next w:val="969"/>
    <w:link w:val="966"/>
    <w:uiPriority w:val="99"/>
    <w:semiHidden/>
    <w:unhideWhenUsed/>
    <w:pPr>
      <w:pBdr/>
      <w:spacing/>
      <w:ind/>
    </w:pPr>
  </w:style>
  <w:style w:type="paragraph" w:styleId="970">
    <w:name w:val="Абзац списка"/>
    <w:basedOn w:val="966"/>
    <w:next w:val="970"/>
    <w:link w:val="966"/>
    <w:uiPriority w:val="34"/>
    <w:qFormat/>
    <w:pPr>
      <w:pBdr/>
      <w:spacing/>
      <w:ind w:left="720"/>
      <w:contextualSpacing w:val="true"/>
    </w:pPr>
  </w:style>
  <w:style w:type="table" w:styleId="971">
    <w:name w:val="Сетка таблицы"/>
    <w:basedOn w:val="968"/>
    <w:next w:val="971"/>
    <w:link w:val="966"/>
    <w:uiPriority w:val="59"/>
    <w:pPr>
      <w:pBdr/>
      <w:spacing w:after="0" w:line="240" w:lineRule="auto"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2">
    <w:name w:val="ConsPlusNormal"/>
    <w:next w:val="972"/>
    <w:link w:val="966"/>
    <w:pPr>
      <w:widowControl w:val="false"/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973">
    <w:name w:val="Верхний колонтитул"/>
    <w:basedOn w:val="966"/>
    <w:next w:val="973"/>
    <w:link w:val="974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sz w:val="20"/>
      <w:szCs w:val="20"/>
      <w:lang w:val="en-US" w:eastAsia="en-US"/>
    </w:rPr>
  </w:style>
  <w:style w:type="character" w:styleId="974">
    <w:name w:val="Верхний колонтитул Знак"/>
    <w:next w:val="974"/>
    <w:link w:val="973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975">
    <w:name w:val="Нижний колонтитул"/>
    <w:basedOn w:val="966"/>
    <w:next w:val="975"/>
    <w:link w:val="976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76">
    <w:name w:val="Нижний колонтитул Знак"/>
    <w:basedOn w:val="967"/>
    <w:next w:val="976"/>
    <w:link w:val="975"/>
    <w:uiPriority w:val="99"/>
    <w:pPr>
      <w:pBdr/>
      <w:spacing/>
      <w:ind/>
    </w:pPr>
  </w:style>
  <w:style w:type="paragraph" w:styleId="977">
    <w:name w:val="Текст выноски"/>
    <w:basedOn w:val="966"/>
    <w:next w:val="977"/>
    <w:link w:val="978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  <w:lang w:val="en-US" w:eastAsia="en-US"/>
    </w:rPr>
  </w:style>
  <w:style w:type="character" w:styleId="978">
    <w:name w:val="Текст выноски Знак"/>
    <w:next w:val="978"/>
    <w:link w:val="977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79">
    <w:name w:val="ConsPlusCell"/>
    <w:next w:val="979"/>
    <w:link w:val="966"/>
    <w:uiPriority w:val="99"/>
    <w:pPr>
      <w:widowControl w:val="false"/>
      <w:pBdr/>
      <w:spacing/>
      <w:ind/>
    </w:pPr>
    <w:rPr>
      <w:rFonts w:ascii="Arial" w:hAnsi="Arial" w:eastAsia="Times New Roman" w:cs="Arial"/>
      <w:lang w:val="ru-RU" w:eastAsia="ru-RU" w:bidi="ar-SA"/>
    </w:rPr>
  </w:style>
  <w:style w:type="paragraph" w:styleId="980">
    <w:name w:val="ConsPlusNonformat"/>
    <w:next w:val="980"/>
    <w:link w:val="966"/>
    <w:pPr>
      <w:pBdr/>
      <w:spacing/>
      <w:ind/>
    </w:pPr>
    <w:rPr>
      <w:rFonts w:ascii="Courier New" w:hAnsi="Courier New" w:eastAsia="Times New Roman" w:cs="Courier New"/>
      <w:lang w:val="ru-RU" w:eastAsia="ru-RU" w:bidi="ar-SA"/>
    </w:rPr>
  </w:style>
  <w:style w:type="character" w:styleId="981">
    <w:name w:val="Гиперссылка"/>
    <w:next w:val="981"/>
    <w:link w:val="966"/>
    <w:uiPriority w:val="99"/>
    <w:unhideWhenUsed/>
    <w:pPr>
      <w:pBdr/>
      <w:spacing/>
      <w:ind/>
    </w:pPr>
    <w:rPr>
      <w:color w:val="0563c1"/>
      <w:u w:val="single"/>
    </w:rPr>
  </w:style>
  <w:style w:type="numbering" w:styleId="982">
    <w:name w:val="Нет списка1"/>
    <w:next w:val="969"/>
    <w:link w:val="966"/>
    <w:uiPriority w:val="99"/>
    <w:semiHidden/>
    <w:unhideWhenUsed/>
    <w:pPr>
      <w:pBdr/>
      <w:spacing/>
      <w:ind/>
    </w:pPr>
  </w:style>
  <w:style w:type="table" w:styleId="983">
    <w:name w:val="Сетка таблицы1"/>
    <w:basedOn w:val="968"/>
    <w:next w:val="971"/>
    <w:link w:val="966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84">
    <w:name w:val="Просмотренная гиперссылка"/>
    <w:next w:val="984"/>
    <w:link w:val="966"/>
    <w:uiPriority w:val="99"/>
    <w:semiHidden/>
    <w:unhideWhenUsed/>
    <w:pPr>
      <w:pBdr/>
      <w:spacing/>
      <w:ind/>
    </w:pPr>
    <w:rPr>
      <w:color w:val="954f72"/>
      <w:u w:val="single"/>
    </w:rPr>
  </w:style>
  <w:style w:type="paragraph" w:styleId="985">
    <w:name w:val="xl65"/>
    <w:basedOn w:val="966"/>
    <w:next w:val="985"/>
    <w:link w:val="966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6">
    <w:name w:val="xl66"/>
    <w:basedOn w:val="966"/>
    <w:next w:val="986"/>
    <w:link w:val="966"/>
    <w:pPr>
      <w:pBdr>
        <w:top w:val="single" w:color="000000" w:sz="4" w:space="0"/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7">
    <w:name w:val="xl67"/>
    <w:basedOn w:val="966"/>
    <w:next w:val="987"/>
    <w:link w:val="966"/>
    <w:pPr>
      <w:pBdr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8">
    <w:name w:val="xl68"/>
    <w:basedOn w:val="966"/>
    <w:next w:val="988"/>
    <w:link w:val="966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9">
    <w:name w:val="xl69"/>
    <w:basedOn w:val="966"/>
    <w:next w:val="989"/>
    <w:link w:val="966"/>
    <w:pPr>
      <w:pBdr>
        <w:left w:val="single" w:color="000000" w:sz="4" w:space="0"/>
        <w:right w:val="single" w:color="000000" w:sz="4" w:space="0"/>
      </w:pBdr>
      <w:shd w:val="clear" w:color="000000" w:fill="8497b0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0">
    <w:name w:val="xl70"/>
    <w:basedOn w:val="966"/>
    <w:next w:val="990"/>
    <w:link w:val="966"/>
    <w:pPr>
      <w:pBdr>
        <w:left w:val="single" w:color="000000" w:sz="4" w:space="0"/>
        <w:right w:val="single" w:color="000000" w:sz="4" w:space="0"/>
      </w:pBdr>
      <w:shd w:val="clear" w:color="000000" w:fill="33cc33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1">
    <w:name w:val="xl71"/>
    <w:basedOn w:val="966"/>
    <w:next w:val="991"/>
    <w:link w:val="966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2">
    <w:name w:val="xl72"/>
    <w:basedOn w:val="966"/>
    <w:next w:val="992"/>
    <w:link w:val="966"/>
    <w:pPr>
      <w:pBdr>
        <w:top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3">
    <w:name w:val="xl73"/>
    <w:basedOn w:val="966"/>
    <w:next w:val="993"/>
    <w:link w:val="966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4">
    <w:name w:val="xl74"/>
    <w:basedOn w:val="966"/>
    <w:next w:val="994"/>
    <w:link w:val="966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5">
    <w:name w:val="xl75"/>
    <w:basedOn w:val="966"/>
    <w:next w:val="995"/>
    <w:link w:val="966"/>
    <w:pPr>
      <w:pBdr>
        <w:top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6">
    <w:name w:val="xl76"/>
    <w:basedOn w:val="966"/>
    <w:next w:val="996"/>
    <w:link w:val="966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7">
    <w:name w:val="xl77"/>
    <w:basedOn w:val="966"/>
    <w:next w:val="997"/>
    <w:link w:val="966"/>
    <w:pPr>
      <w:pBdr>
        <w:top w:val="single" w:color="000000" w:sz="4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8">
    <w:name w:val="xl78"/>
    <w:basedOn w:val="966"/>
    <w:next w:val="998"/>
    <w:link w:val="966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9">
    <w:name w:val="xl79"/>
    <w:basedOn w:val="966"/>
    <w:next w:val="999"/>
    <w:link w:val="966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numbering" w:styleId="1000">
    <w:name w:val="Нет списка2"/>
    <w:next w:val="969"/>
    <w:link w:val="966"/>
    <w:uiPriority w:val="99"/>
    <w:semiHidden/>
    <w:unhideWhenUsed/>
    <w:pPr>
      <w:pBdr/>
      <w:spacing/>
      <w:ind/>
    </w:pPr>
  </w:style>
  <w:style w:type="paragraph" w:styleId="1001">
    <w:name w:val="xl80"/>
    <w:basedOn w:val="966"/>
    <w:next w:val="1001"/>
    <w:link w:val="966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2">
    <w:name w:val="xl81"/>
    <w:basedOn w:val="966"/>
    <w:next w:val="1002"/>
    <w:link w:val="966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32"/>
      <w:szCs w:val="32"/>
      <w:lang w:eastAsia="ru-RU"/>
    </w:rPr>
  </w:style>
  <w:style w:type="paragraph" w:styleId="1003">
    <w:name w:val="xl82"/>
    <w:basedOn w:val="966"/>
    <w:next w:val="1003"/>
    <w:link w:val="966"/>
    <w:pPr>
      <w:pBdr>
        <w:top w:val="single" w:color="000000" w:sz="4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4">
    <w:name w:val="xl83"/>
    <w:basedOn w:val="966"/>
    <w:next w:val="1004"/>
    <w:link w:val="966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32"/>
      <w:szCs w:val="32"/>
      <w:lang w:eastAsia="ru-RU"/>
    </w:rPr>
  </w:style>
  <w:style w:type="paragraph" w:styleId="1005">
    <w:name w:val="xl84"/>
    <w:basedOn w:val="966"/>
    <w:next w:val="1005"/>
    <w:link w:val="966"/>
    <w:pPr>
      <w:pBdr>
        <w:top w:val="single" w:color="000000" w:sz="4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6">
    <w:name w:val="xl85"/>
    <w:basedOn w:val="966"/>
    <w:next w:val="1006"/>
    <w:link w:val="966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7">
    <w:name w:val="xl86"/>
    <w:basedOn w:val="966"/>
    <w:next w:val="1007"/>
    <w:link w:val="966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8">
    <w:name w:val="xl87"/>
    <w:basedOn w:val="966"/>
    <w:next w:val="1008"/>
    <w:link w:val="966"/>
    <w:pPr>
      <w:pBdr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9">
    <w:name w:val="xl88"/>
    <w:basedOn w:val="966"/>
    <w:next w:val="1009"/>
    <w:link w:val="966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0">
    <w:name w:val="xl89"/>
    <w:basedOn w:val="966"/>
    <w:next w:val="1010"/>
    <w:link w:val="966"/>
    <w:pPr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1">
    <w:name w:val="xl90"/>
    <w:basedOn w:val="966"/>
    <w:next w:val="1011"/>
    <w:link w:val="966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2">
    <w:name w:val="xl91"/>
    <w:basedOn w:val="966"/>
    <w:next w:val="1012"/>
    <w:link w:val="966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3">
    <w:name w:val="xl92"/>
    <w:basedOn w:val="966"/>
    <w:next w:val="1013"/>
    <w:link w:val="966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4">
    <w:name w:val="xl93"/>
    <w:basedOn w:val="966"/>
    <w:next w:val="1014"/>
    <w:link w:val="966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5">
    <w:name w:val="xl94"/>
    <w:basedOn w:val="966"/>
    <w:next w:val="1015"/>
    <w:link w:val="966"/>
    <w:pPr>
      <w:pBdr>
        <w:top w:val="single" w:color="000000" w:sz="8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6">
    <w:name w:val="xl95"/>
    <w:basedOn w:val="966"/>
    <w:next w:val="1016"/>
    <w:link w:val="966"/>
    <w:pPr>
      <w:pBdr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7">
    <w:name w:val="xl96"/>
    <w:basedOn w:val="966"/>
    <w:next w:val="1017"/>
    <w:link w:val="966"/>
    <w:pPr>
      <w:pBdr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8">
    <w:name w:val="xl97"/>
    <w:basedOn w:val="966"/>
    <w:next w:val="1018"/>
    <w:link w:val="966"/>
    <w:pPr>
      <w:pBdr>
        <w:top w:val="single" w:color="000000" w:sz="8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9">
    <w:name w:val="xl98"/>
    <w:basedOn w:val="966"/>
    <w:next w:val="1019"/>
    <w:link w:val="966"/>
    <w:pPr>
      <w:pBdr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0">
    <w:name w:val="xl99"/>
    <w:basedOn w:val="966"/>
    <w:next w:val="1020"/>
    <w:link w:val="966"/>
    <w:pPr>
      <w:pBdr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1">
    <w:name w:val="xl100"/>
    <w:basedOn w:val="966"/>
    <w:next w:val="1021"/>
    <w:link w:val="966"/>
    <w:pPr>
      <w:pBdr>
        <w:top w:val="single" w:color="000000" w:sz="8" w:space="0"/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2">
    <w:name w:val="xl101"/>
    <w:basedOn w:val="966"/>
    <w:next w:val="1022"/>
    <w:link w:val="966"/>
    <w:pPr>
      <w:pBdr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3">
    <w:name w:val="xl102"/>
    <w:basedOn w:val="966"/>
    <w:next w:val="1023"/>
    <w:link w:val="966"/>
    <w:pPr>
      <w:pBdr>
        <w:lef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numbering" w:styleId="1024">
    <w:name w:val="Нет списка3"/>
    <w:next w:val="969"/>
    <w:link w:val="966"/>
    <w:uiPriority w:val="99"/>
    <w:semiHidden/>
    <w:unhideWhenUsed/>
    <w:pPr>
      <w:pBdr/>
      <w:spacing/>
      <w:ind/>
    </w:pPr>
  </w:style>
  <w:style w:type="table" w:styleId="1025">
    <w:name w:val="Сетка таблицы2"/>
    <w:basedOn w:val="968"/>
    <w:next w:val="971"/>
    <w:link w:val="966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6">
    <w:name w:val="Нет списка11"/>
    <w:next w:val="969"/>
    <w:link w:val="966"/>
    <w:uiPriority w:val="99"/>
    <w:semiHidden/>
    <w:unhideWhenUsed/>
    <w:pPr>
      <w:pBdr/>
      <w:spacing/>
      <w:ind/>
    </w:pPr>
  </w:style>
  <w:style w:type="table" w:styleId="1027">
    <w:name w:val="Сетка таблицы11"/>
    <w:basedOn w:val="968"/>
    <w:next w:val="971"/>
    <w:link w:val="966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8">
    <w:name w:val="Нет списка21"/>
    <w:next w:val="969"/>
    <w:link w:val="966"/>
    <w:uiPriority w:val="99"/>
    <w:semiHidden/>
    <w:unhideWhenUsed/>
    <w:pPr>
      <w:pBdr/>
      <w:spacing/>
      <w:ind/>
    </w:pPr>
  </w:style>
  <w:style w:type="paragraph" w:styleId="1029">
    <w:name w:val="msonormal"/>
    <w:basedOn w:val="966"/>
    <w:next w:val="1029"/>
    <w:link w:val="966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30">
    <w:name w:val="xl64"/>
    <w:basedOn w:val="966"/>
    <w:next w:val="1030"/>
    <w:link w:val="966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31">
    <w:name w:val="xl103"/>
    <w:basedOn w:val="966"/>
    <w:next w:val="1031"/>
    <w:link w:val="966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99ffcc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2">
    <w:name w:val="xl104"/>
    <w:basedOn w:val="966"/>
    <w:next w:val="1032"/>
    <w:link w:val="966"/>
    <w:pPr>
      <w:pBdr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3">
    <w:name w:val="xl105"/>
    <w:basedOn w:val="966"/>
    <w:next w:val="1033"/>
    <w:link w:val="966"/>
    <w:pPr>
      <w:pBdr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4">
    <w:name w:val="xl106"/>
    <w:basedOn w:val="966"/>
    <w:next w:val="1034"/>
    <w:link w:val="966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5">
    <w:name w:val="xl107"/>
    <w:basedOn w:val="966"/>
    <w:next w:val="1035"/>
    <w:link w:val="966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6">
    <w:name w:val="xl108"/>
    <w:basedOn w:val="966"/>
    <w:next w:val="1036"/>
    <w:link w:val="966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7">
    <w:name w:val="xl109"/>
    <w:basedOn w:val="966"/>
    <w:next w:val="1037"/>
    <w:link w:val="966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8">
    <w:name w:val="xl110"/>
    <w:basedOn w:val="966"/>
    <w:next w:val="1038"/>
    <w:link w:val="966"/>
    <w:pPr>
      <w:pBdr>
        <w:top w:val="single" w:color="000000" w:sz="8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9">
    <w:name w:val="xl111"/>
    <w:basedOn w:val="966"/>
    <w:next w:val="1039"/>
    <w:link w:val="966"/>
    <w:pPr>
      <w:pBdr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0">
    <w:name w:val="xl112"/>
    <w:basedOn w:val="966"/>
    <w:next w:val="1040"/>
    <w:link w:val="966"/>
    <w:pPr>
      <w:pBdr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1">
    <w:name w:val="xl113"/>
    <w:basedOn w:val="966"/>
    <w:next w:val="1041"/>
    <w:link w:val="966"/>
    <w:pPr>
      <w:pBdr>
        <w:top w:val="single" w:color="000000" w:sz="8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2">
    <w:name w:val="xl114"/>
    <w:basedOn w:val="966"/>
    <w:next w:val="1042"/>
    <w:link w:val="966"/>
    <w:pPr>
      <w:pBdr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3">
    <w:name w:val="xl115"/>
    <w:basedOn w:val="966"/>
    <w:next w:val="1043"/>
    <w:link w:val="966"/>
    <w:pPr>
      <w:pBdr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4">
    <w:name w:val="xl116"/>
    <w:basedOn w:val="966"/>
    <w:next w:val="1044"/>
    <w:link w:val="966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5">
    <w:name w:val="xl117"/>
    <w:basedOn w:val="966"/>
    <w:next w:val="1045"/>
    <w:link w:val="966"/>
    <w:pPr>
      <w:pBdr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6">
    <w:name w:val="xl118"/>
    <w:basedOn w:val="966"/>
    <w:next w:val="1046"/>
    <w:link w:val="966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7">
    <w:name w:val="xl119"/>
    <w:basedOn w:val="966"/>
    <w:next w:val="1047"/>
    <w:link w:val="966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8">
    <w:name w:val="xl120"/>
    <w:basedOn w:val="966"/>
    <w:next w:val="1048"/>
    <w:link w:val="966"/>
    <w:pPr>
      <w:pBdr>
        <w:top w:val="single" w:color="000000" w:sz="8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9">
    <w:name w:val="xl121"/>
    <w:basedOn w:val="966"/>
    <w:next w:val="1049"/>
    <w:link w:val="966"/>
    <w:pPr>
      <w:pBdr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0">
    <w:name w:val="xl122"/>
    <w:basedOn w:val="966"/>
    <w:next w:val="1050"/>
    <w:link w:val="966"/>
    <w:pPr>
      <w:pBdr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1">
    <w:name w:val="xl123"/>
    <w:basedOn w:val="966"/>
    <w:next w:val="1051"/>
    <w:link w:val="966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2">
    <w:name w:val="xl124"/>
    <w:basedOn w:val="966"/>
    <w:next w:val="1052"/>
    <w:link w:val="966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3">
    <w:name w:val="xl125"/>
    <w:basedOn w:val="966"/>
    <w:next w:val="1053"/>
    <w:link w:val="966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4">
    <w:name w:val="xl126"/>
    <w:basedOn w:val="966"/>
    <w:next w:val="1054"/>
    <w:link w:val="966"/>
    <w:pPr>
      <w:pBdr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5">
    <w:name w:val="xl127"/>
    <w:basedOn w:val="966"/>
    <w:next w:val="1055"/>
    <w:link w:val="966"/>
    <w:pPr>
      <w:pBdr>
        <w:top w:val="single" w:color="000000" w:sz="4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6">
    <w:name w:val="xl128"/>
    <w:basedOn w:val="966"/>
    <w:next w:val="1056"/>
    <w:link w:val="966"/>
    <w:pPr>
      <w:pBdr>
        <w:top w:val="single" w:color="000000" w:sz="4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7">
    <w:name w:val="xl129"/>
    <w:basedOn w:val="966"/>
    <w:next w:val="1057"/>
    <w:link w:val="966"/>
    <w:pPr>
      <w:pBdr>
        <w:top w:val="single" w:color="000000" w:sz="8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8">
    <w:name w:val="xl130"/>
    <w:basedOn w:val="966"/>
    <w:next w:val="1058"/>
    <w:link w:val="966"/>
    <w:pPr>
      <w:pBdr>
        <w:left w:val="single" w:color="000000" w:sz="4" w:space="0"/>
        <w:bottom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9">
    <w:name w:val="xl131"/>
    <w:basedOn w:val="966"/>
    <w:next w:val="1059"/>
    <w:link w:val="966"/>
    <w:pPr>
      <w:pBdr>
        <w:lef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60">
    <w:name w:val="xl132"/>
    <w:basedOn w:val="966"/>
    <w:next w:val="1060"/>
    <w:link w:val="966"/>
    <w:pPr>
      <w:pBdr>
        <w:top w:val="single" w:color="000000" w:sz="8" w:space="0"/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61">
    <w:name w:val="xl133"/>
    <w:basedOn w:val="966"/>
    <w:next w:val="1061"/>
    <w:link w:val="966"/>
    <w:pPr>
      <w:pBdr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character" w:styleId="1062">
    <w:name w:val="Неразрешенное упоминание"/>
    <w:next w:val="1062"/>
    <w:link w:val="966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63">
    <w:name w:val="Обычный (веб)"/>
    <w:basedOn w:val="966"/>
    <w:next w:val="1063"/>
    <w:link w:val="966"/>
    <w:uiPriority w:val="99"/>
    <w:semiHidden/>
    <w:unhideWhenUsed/>
    <w:pPr>
      <w:pBdr/>
      <w:spacing/>
      <w:ind/>
    </w:pPr>
    <w:rPr>
      <w:rFonts w:ascii="Times New Roman" w:hAnsi="Times New Roman"/>
      <w:sz w:val="24"/>
      <w:szCs w:val="24"/>
    </w:rPr>
  </w:style>
  <w:style w:type="character" w:styleId="1064" w:customStyle="1">
    <w:name w:val="StGen0"/>
    <w:pPr>
      <w:pBdr/>
      <w:spacing/>
      <w:ind/>
    </w:pPr>
    <w:rPr>
      <w:rFonts w:ascii="Times New Roman" w:hAnsi="Times New Roman" w:cs="Times New Roman"/>
      <w:sz w:val="28"/>
      <w:szCs w:val="28"/>
    </w:rPr>
  </w:style>
  <w:style w:type="paragraph" w:styleId="1065" w:customStyle="1">
    <w:name w:val="s_16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66" w:customStyle="1">
    <w:name w:val="s_1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687</cp:revision>
  <dcterms:created xsi:type="dcterms:W3CDTF">2016-09-30T12:20:00Z</dcterms:created>
  <dcterms:modified xsi:type="dcterms:W3CDTF">2026-04-27T09:18:39Z</dcterms:modified>
  <cp:version>1048576</cp:version>
</cp:coreProperties>
</file>